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7FF7" w14:textId="77777777" w:rsidR="00340C26" w:rsidRDefault="00340C26" w:rsidP="00340C26">
      <w:pPr>
        <w:pStyle w:val="prastasiniatinklio"/>
        <w:jc w:val="center"/>
      </w:pPr>
      <w:r>
        <w:rPr>
          <w:rStyle w:val="Grietas"/>
          <w:rFonts w:eastAsiaTheme="majorEastAsia"/>
        </w:rPr>
        <w:t>Skaičių rašymo atmintinė</w:t>
      </w:r>
    </w:p>
    <w:p w14:paraId="111CE6F2" w14:textId="77777777" w:rsidR="00340C26" w:rsidRDefault="00340C26" w:rsidP="00340C26">
      <w:pPr>
        <w:pStyle w:val="prastasiniatinklio"/>
        <w:jc w:val="center"/>
      </w:pPr>
      <w:r>
        <w:rPr>
          <w:rStyle w:val="Emfaz"/>
          <w:rFonts w:eastAsiaTheme="majorEastAsia"/>
        </w:rPr>
        <w:t>2020-06-29</w:t>
      </w:r>
    </w:p>
    <w:p w14:paraId="1CD49EF1" w14:textId="77777777" w:rsidR="00340C26" w:rsidRDefault="00340C26" w:rsidP="00340C26">
      <w:pPr>
        <w:pStyle w:val="prastasiniatinklio"/>
        <w:jc w:val="center"/>
      </w:pPr>
      <w:r>
        <w:t> </w:t>
      </w:r>
    </w:p>
    <w:p w14:paraId="23E252E7" w14:textId="77777777" w:rsidR="00340C26" w:rsidRDefault="00340C26" w:rsidP="00340C26">
      <w:pPr>
        <w:pStyle w:val="prastasiniatinklio"/>
      </w:pPr>
      <w:r>
        <w:rPr>
          <w:b/>
          <w:bCs/>
          <w:color w:val="434343"/>
        </w:rPr>
        <w:t xml:space="preserve">Arabiškų ir romėniškų skaičių </w:t>
      </w:r>
      <w:r>
        <w:rPr>
          <w:color w:val="010101"/>
        </w:rPr>
        <w:t>tekste rašymo taisyklės išdėstytos ir leidinyje „Lietuvių kalbos rašyba ir skyryba“ (V., 1992).</w:t>
      </w:r>
    </w:p>
    <w:p w14:paraId="3C93291B" w14:textId="77777777" w:rsidR="00340C26" w:rsidRDefault="00340C26" w:rsidP="00340C26">
      <w:pPr>
        <w:pStyle w:val="prastasiniatinklio"/>
      </w:pPr>
      <w:r>
        <w:rPr>
          <w:color w:val="010101"/>
        </w:rPr>
        <w:t xml:space="preserve">Daiktų kiekį žymintys skaičiai rašomi arabiškais skaitmenimis, pvz.: </w:t>
      </w:r>
      <w:r>
        <w:rPr>
          <w:b/>
          <w:bCs/>
          <w:i/>
          <w:iCs/>
          <w:color w:val="434343"/>
        </w:rPr>
        <w:t>24 puslapiai, 15</w:t>
      </w:r>
      <w:r>
        <w:t xml:space="preserve"> </w:t>
      </w:r>
      <w:r>
        <w:rPr>
          <w:b/>
          <w:bCs/>
          <w:i/>
          <w:iCs/>
          <w:color w:val="434343"/>
        </w:rPr>
        <w:t>lapų, 6 egzemplioriai.</w:t>
      </w:r>
      <w:r>
        <w:t xml:space="preserve"> </w:t>
      </w:r>
      <w:r>
        <w:rPr>
          <w:color w:val="434343"/>
        </w:rPr>
        <w:t xml:space="preserve">Su daugiskaitiniais daiktavardžiais vartojame dauginius skaitvardžius, pvz.: </w:t>
      </w:r>
      <w:r>
        <w:rPr>
          <w:b/>
          <w:bCs/>
          <w:color w:val="434343"/>
        </w:rPr>
        <w:t> </w:t>
      </w:r>
      <w:r>
        <w:rPr>
          <w:b/>
          <w:bCs/>
          <w:i/>
          <w:iCs/>
          <w:color w:val="434343"/>
        </w:rPr>
        <w:t>3 žirklės (trejos), 5 metai (penkeri), 2 marškiniai (dveji).</w:t>
      </w:r>
    </w:p>
    <w:p w14:paraId="749CCBB2" w14:textId="77777777" w:rsidR="00340C26" w:rsidRDefault="00340C26" w:rsidP="00340C26">
      <w:pPr>
        <w:pStyle w:val="prastasiniatinklio"/>
      </w:pPr>
      <w:r>
        <w:rPr>
          <w:color w:val="010101"/>
        </w:rPr>
        <w:t>Daiktų eilę žymintys skaičiai gali būti rašomi ir arabiškais, ir romėniškais skaitmenimis, pvz</w:t>
      </w:r>
      <w:r>
        <w:rPr>
          <w:b/>
          <w:bCs/>
          <w:i/>
          <w:iCs/>
          <w:color w:val="434343"/>
        </w:rPr>
        <w:t>.: 6 skyrius ir VI skyrius</w:t>
      </w:r>
      <w:r>
        <w:rPr>
          <w:b/>
          <w:bCs/>
          <w:color w:val="434343"/>
        </w:rPr>
        <w:t xml:space="preserve">, </w:t>
      </w:r>
      <w:r>
        <w:rPr>
          <w:color w:val="010101"/>
        </w:rPr>
        <w:t>bet</w:t>
      </w:r>
      <w:r>
        <w:t xml:space="preserve"> </w:t>
      </w:r>
      <w:r>
        <w:rPr>
          <w:color w:val="010101"/>
        </w:rPr>
        <w:t xml:space="preserve">su trumpiniu </w:t>
      </w:r>
      <w:proofErr w:type="spellStart"/>
      <w:r>
        <w:rPr>
          <w:color w:val="010101"/>
        </w:rPr>
        <w:t>nr.</w:t>
      </w:r>
      <w:proofErr w:type="spellEnd"/>
      <w:r>
        <w:rPr>
          <w:color w:val="010101"/>
        </w:rPr>
        <w:t xml:space="preserve"> rašomas tik arabiškas skaičius, pvz.: </w:t>
      </w:r>
      <w:r>
        <w:rPr>
          <w:b/>
          <w:bCs/>
          <w:i/>
          <w:iCs/>
          <w:color w:val="434343"/>
        </w:rPr>
        <w:t>Nr. 2; Nr. 18.</w:t>
      </w:r>
      <w:r>
        <w:t xml:space="preserve"> </w:t>
      </w:r>
      <w:r>
        <w:rPr>
          <w:color w:val="010101"/>
        </w:rPr>
        <w:t xml:space="preserve"> Laikas irgi rašomas tik arabiškais skaičiais, pvz.: </w:t>
      </w:r>
      <w:r>
        <w:rPr>
          <w:b/>
          <w:bCs/>
          <w:i/>
          <w:iCs/>
          <w:color w:val="010101"/>
        </w:rPr>
        <w:t>10 val., 12:30 val.</w:t>
      </w:r>
    </w:p>
    <w:p w14:paraId="3E3F522B" w14:textId="77777777" w:rsidR="00340C26" w:rsidRDefault="00340C26" w:rsidP="00340C26">
      <w:pPr>
        <w:pStyle w:val="prastasiniatinklio"/>
      </w:pPr>
      <w:r>
        <w:rPr>
          <w:color w:val="010101"/>
        </w:rPr>
        <w:t xml:space="preserve">Sakinyje prie arabiškų skaičių po brūkšnelio galima pridėti kelintinio įvardžiuotinio arba paprastojo skaitvardžio galūnes: </w:t>
      </w:r>
      <w:r>
        <w:rPr>
          <w:i/>
          <w:iCs/>
          <w:color w:val="010101"/>
        </w:rPr>
        <w:t>7</w:t>
      </w:r>
      <w:r>
        <w:rPr>
          <w:b/>
          <w:bCs/>
          <w:i/>
          <w:iCs/>
          <w:color w:val="434343"/>
        </w:rPr>
        <w:t>-as, -a, -</w:t>
      </w:r>
      <w:proofErr w:type="spellStart"/>
      <w:r>
        <w:rPr>
          <w:b/>
          <w:bCs/>
          <w:i/>
          <w:iCs/>
          <w:color w:val="434343"/>
        </w:rPr>
        <w:t>asis</w:t>
      </w:r>
      <w:proofErr w:type="spellEnd"/>
      <w:r>
        <w:rPr>
          <w:b/>
          <w:bCs/>
          <w:i/>
          <w:iCs/>
          <w:color w:val="434343"/>
        </w:rPr>
        <w:t xml:space="preserve"> , -</w:t>
      </w:r>
      <w:proofErr w:type="spellStart"/>
      <w:r>
        <w:rPr>
          <w:b/>
          <w:bCs/>
          <w:i/>
          <w:iCs/>
          <w:color w:val="434343"/>
        </w:rPr>
        <w:t>oji</w:t>
      </w:r>
      <w:proofErr w:type="spellEnd"/>
      <w:r>
        <w:rPr>
          <w:b/>
          <w:bCs/>
          <w:i/>
          <w:iCs/>
          <w:color w:val="434343"/>
        </w:rPr>
        <w:t>.</w:t>
      </w:r>
    </w:p>
    <w:p w14:paraId="1E4001AE" w14:textId="77777777" w:rsidR="00340C26" w:rsidRDefault="00340C26" w:rsidP="00340C26">
      <w:pPr>
        <w:pStyle w:val="prastasiniatinklio"/>
      </w:pPr>
      <w:r>
        <w:rPr>
          <w:b/>
          <w:bCs/>
          <w:color w:val="434343"/>
        </w:rPr>
        <w:t>Romėniškiems</w:t>
      </w:r>
      <w:r>
        <w:t xml:space="preserve"> </w:t>
      </w:r>
      <w:r>
        <w:rPr>
          <w:b/>
          <w:bCs/>
          <w:color w:val="434343"/>
        </w:rPr>
        <w:t xml:space="preserve">skaitmenims galūnės nededamos, </w:t>
      </w:r>
      <w:r>
        <w:rPr>
          <w:color w:val="010101"/>
        </w:rPr>
        <w:t>pvz.:</w:t>
      </w:r>
      <w:r>
        <w:t xml:space="preserve"> </w:t>
      </w:r>
      <w:r>
        <w:rPr>
          <w:i/>
          <w:iCs/>
          <w:color w:val="010101"/>
        </w:rPr>
        <w:t>II skyrius, XII festivalis.</w:t>
      </w:r>
    </w:p>
    <w:p w14:paraId="188D43AF" w14:textId="77777777" w:rsidR="00340C26" w:rsidRDefault="00340C26" w:rsidP="00340C26">
      <w:pPr>
        <w:pStyle w:val="prastasiniatinklio"/>
      </w:pPr>
      <w:r>
        <w:rPr>
          <w:color w:val="010101"/>
        </w:rPr>
        <w:t>Teksto skirstymą skyriais, skirsniais, punktais ir jų pastraipomis, punktų papunkčiais reglamentuoja    Dokumentų rengimo ir įforminimo taisyklių 28 punktas.</w:t>
      </w:r>
    </w:p>
    <w:p w14:paraId="7E6A5162" w14:textId="77777777" w:rsidR="00340C26" w:rsidRDefault="00340C26" w:rsidP="00340C26">
      <w:pPr>
        <w:pStyle w:val="prastasiniatinklio"/>
      </w:pPr>
      <w:r>
        <w:rPr>
          <w:b/>
          <w:bCs/>
          <w:color w:val="434343"/>
        </w:rPr>
        <w:t>Skyriai ir skirsniai žymimi romėniškais</w:t>
      </w:r>
      <w:r>
        <w:rPr>
          <w:color w:val="010101"/>
        </w:rPr>
        <w:t xml:space="preserve"> (I, III, V, XI, XX ) </w:t>
      </w:r>
      <w:r>
        <w:rPr>
          <w:b/>
          <w:bCs/>
          <w:color w:val="434343"/>
        </w:rPr>
        <w:t>skaitmenimis ir turi pavadinimus</w:t>
      </w:r>
      <w:r>
        <w:rPr>
          <w:color w:val="010101"/>
        </w:rPr>
        <w:t xml:space="preserve">. </w:t>
      </w:r>
      <w:r>
        <w:rPr>
          <w:b/>
          <w:bCs/>
          <w:color w:val="434343"/>
        </w:rPr>
        <w:t xml:space="preserve">Punktai </w:t>
      </w:r>
      <w:r>
        <w:rPr>
          <w:color w:val="010101"/>
        </w:rPr>
        <w:t xml:space="preserve">(2., 3. 13.) </w:t>
      </w:r>
      <w:r>
        <w:rPr>
          <w:b/>
          <w:bCs/>
          <w:color w:val="434343"/>
        </w:rPr>
        <w:t>ir papunkčiai</w:t>
      </w:r>
      <w:r>
        <w:rPr>
          <w:color w:val="010101"/>
        </w:rPr>
        <w:t xml:space="preserve"> (1.1., 1.2., 1.3.) </w:t>
      </w:r>
      <w:r>
        <w:rPr>
          <w:b/>
          <w:bCs/>
          <w:color w:val="434343"/>
        </w:rPr>
        <w:t>žymimi arabiškais skaitmenimis</w:t>
      </w:r>
      <w:r>
        <w:rPr>
          <w:color w:val="010101"/>
        </w:rPr>
        <w:t xml:space="preserve">  ir visame tekste numeruojami </w:t>
      </w:r>
      <w:r>
        <w:rPr>
          <w:b/>
          <w:bCs/>
          <w:color w:val="434343"/>
        </w:rPr>
        <w:t>iš eilės</w:t>
      </w:r>
      <w:r>
        <w:rPr>
          <w:color w:val="010101"/>
        </w:rPr>
        <w:t>. Kai papunkčius sudaro sakinys, jie pradedami rašyti didžiąja raide, kai sudaro dalį sakinio, jie pradedami rašyti mažąja raide ir atskiriami vienas nuo kito kabliataškiu. Punktų pastraipos nenumeruojamos.</w:t>
      </w:r>
    </w:p>
    <w:p w14:paraId="4FC12160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color w:val="313131"/>
        </w:rPr>
        <w:t xml:space="preserve">      Dokumentų dalys, punktai, papunkčiai numeruojami arabiškais skaitmenimis su taškais. Taškai taip pat rašomi po skaitmenų, žyminčių eilės numerius – lentelėse, sąrašuose. </w:t>
      </w:r>
    </w:p>
    <w:p w14:paraId="3F2A349F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color w:val="313131"/>
        </w:rPr>
        <w:t xml:space="preserve">Rišliame tekste tarp skaičiaus ar skaičių grupės, žyminčios tam tikrą skyrių, dalį, punktą, papunktį, ir žodžio taškas nerašomas: </w:t>
      </w:r>
      <w:r>
        <w:rPr>
          <w:i/>
          <w:iCs/>
          <w:color w:val="313131"/>
        </w:rPr>
        <w:t xml:space="preserve">II skyrius, 20 punktas, 3.4.1 papunktis </w:t>
      </w:r>
      <w:r>
        <w:rPr>
          <w:color w:val="313131"/>
        </w:rPr>
        <w:t xml:space="preserve">ir pan. </w:t>
      </w:r>
    </w:p>
    <w:p w14:paraId="51317BF2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color w:val="010101"/>
        </w:rPr>
        <w:t>Jei tekste pateikiami skaičiai žymi matavimo vienetą, juos reikia rašyti arabiškais skaitmenimis, pvz</w:t>
      </w:r>
      <w:r>
        <w:rPr>
          <w:i/>
          <w:iCs/>
          <w:color w:val="010101"/>
        </w:rPr>
        <w:t>.</w:t>
      </w:r>
      <w:r>
        <w:rPr>
          <w:color w:val="010101"/>
        </w:rPr>
        <w:t xml:space="preserve">: </w:t>
      </w:r>
      <w:r>
        <w:rPr>
          <w:b/>
          <w:bCs/>
          <w:i/>
          <w:iCs/>
          <w:color w:val="434343"/>
        </w:rPr>
        <w:t>260 km; 20 m; 30 Eur</w:t>
      </w:r>
      <w:r>
        <w:rPr>
          <w:color w:val="010101"/>
        </w:rPr>
        <w:t xml:space="preserve">. Kai rašomos sutartys ar kiti finansiniai dokumentai, tai lėšų sumas rašome ir skaičiais, ir žodžiais. Pvz.: </w:t>
      </w:r>
      <w:r>
        <w:rPr>
          <w:b/>
          <w:bCs/>
          <w:color w:val="434343"/>
        </w:rPr>
        <w:t xml:space="preserve">Mokėjimo pavedimu reikia pervesti </w:t>
      </w:r>
      <w:r>
        <w:rPr>
          <w:b/>
          <w:bCs/>
          <w:i/>
          <w:iCs/>
          <w:color w:val="434343"/>
        </w:rPr>
        <w:t>665 (Šešis šimtus</w:t>
      </w:r>
      <w:r>
        <w:t xml:space="preserve"> </w:t>
      </w:r>
      <w:r>
        <w:rPr>
          <w:b/>
          <w:bCs/>
          <w:i/>
          <w:iCs/>
          <w:color w:val="434343"/>
        </w:rPr>
        <w:t>šešiasdešimt penkis) eurus</w:t>
      </w:r>
      <w:r>
        <w:rPr>
          <w:b/>
          <w:bCs/>
          <w:color w:val="434343"/>
        </w:rPr>
        <w:t>.</w:t>
      </w:r>
      <w:r>
        <w:rPr>
          <w:color w:val="010101"/>
        </w:rPr>
        <w:t xml:space="preserve"> Po sutrumpinimų Eur</w:t>
      </w:r>
      <w:r>
        <w:rPr>
          <w:b/>
          <w:bCs/>
          <w:color w:val="434343"/>
        </w:rPr>
        <w:t xml:space="preserve"> (</w:t>
      </w:r>
      <w:r>
        <w:rPr>
          <w:color w:val="010101"/>
        </w:rPr>
        <w:t xml:space="preserve">eurai) ir </w:t>
      </w:r>
      <w:r>
        <w:rPr>
          <w:b/>
          <w:bCs/>
          <w:color w:val="434343"/>
        </w:rPr>
        <w:t>ct</w:t>
      </w:r>
      <w:r>
        <w:rPr>
          <w:color w:val="010101"/>
        </w:rPr>
        <w:t xml:space="preserve"> (centai) taškai nededami, išskyrus sakinio galą.</w:t>
      </w:r>
    </w:p>
    <w:p w14:paraId="726CD7FD" w14:textId="77777777" w:rsidR="00340C26" w:rsidRDefault="00340C26" w:rsidP="00340C26">
      <w:pPr>
        <w:pStyle w:val="prastasiniatinklio"/>
        <w:jc w:val="both"/>
      </w:pPr>
      <w:r>
        <w:rPr>
          <w:rStyle w:val="Emfaz"/>
          <w:rFonts w:eastAsiaTheme="majorEastAsia"/>
          <w:color w:val="313131"/>
        </w:rPr>
        <w:t>Arabiškais skaitmenimis žymimi dideli skaičiai. Dideli skaičiai, pradedant tūkstančiu, gali būti </w:t>
      </w:r>
      <w:r>
        <w:rPr>
          <w:color w:val="313131"/>
        </w:rPr>
        <w:t xml:space="preserve">žymimi: </w:t>
      </w:r>
    </w:p>
    <w:p w14:paraId="54A70663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b/>
          <w:bCs/>
          <w:color w:val="313131"/>
        </w:rPr>
        <w:t>grupuojamais skaitmenimis</w:t>
      </w:r>
      <w:r>
        <w:rPr>
          <w:color w:val="313131"/>
        </w:rPr>
        <w:t xml:space="preserve">: </w:t>
      </w:r>
      <w:r>
        <w:rPr>
          <w:i/>
          <w:iCs/>
          <w:color w:val="313131"/>
        </w:rPr>
        <w:t xml:space="preserve">2 000, 25 000, 100 000, 1 000 000, 1 000 000 000 </w:t>
      </w:r>
      <w:r>
        <w:rPr>
          <w:color w:val="313131"/>
        </w:rPr>
        <w:t>(</w:t>
      </w:r>
      <w:r>
        <w:rPr>
          <w:b/>
          <w:bCs/>
          <w:color w:val="313131"/>
        </w:rPr>
        <w:t>tarp skaitmenų grupių nededamas nei kablelis, nei taškas</w:t>
      </w:r>
      <w:r>
        <w:rPr>
          <w:color w:val="313131"/>
        </w:rPr>
        <w:t xml:space="preserve">); </w:t>
      </w:r>
    </w:p>
    <w:p w14:paraId="26ACD903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b/>
          <w:bCs/>
          <w:color w:val="313131"/>
        </w:rPr>
        <w:lastRenderedPageBreak/>
        <w:t>skaitmenimis ir žodžiais arba jų sutrumpinimais</w:t>
      </w:r>
      <w:r>
        <w:rPr>
          <w:color w:val="313131"/>
        </w:rPr>
        <w:t>: 3</w:t>
      </w:r>
      <w:r>
        <w:rPr>
          <w:i/>
          <w:iCs/>
          <w:color w:val="313131"/>
        </w:rPr>
        <w:t xml:space="preserve">5 tūkstančiai arba 35 tūkst.; 8 milijonai arba 8 mln.; 7 560 800 </w:t>
      </w:r>
      <w:r>
        <w:rPr>
          <w:color w:val="313131"/>
        </w:rPr>
        <w:t>arba 7</w:t>
      </w:r>
      <w:r>
        <w:rPr>
          <w:i/>
          <w:iCs/>
          <w:color w:val="313131"/>
        </w:rPr>
        <w:t xml:space="preserve"> mln. 560 tūkst. 800. </w:t>
      </w:r>
    </w:p>
    <w:p w14:paraId="500E01C9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color w:val="313131"/>
        </w:rPr>
        <w:t>Dešimtainės ir šimtainės skaičiaus dalys skiriamos kableliais (</w:t>
      </w:r>
      <w:r>
        <w:rPr>
          <w:b/>
          <w:bCs/>
          <w:color w:val="313131"/>
        </w:rPr>
        <w:t>ne taškais</w:t>
      </w:r>
      <w:r>
        <w:rPr>
          <w:color w:val="313131"/>
        </w:rPr>
        <w:t xml:space="preserve">): </w:t>
      </w:r>
      <w:r>
        <w:rPr>
          <w:i/>
          <w:iCs/>
          <w:color w:val="313131"/>
        </w:rPr>
        <w:t xml:space="preserve">2,5 kg </w:t>
      </w:r>
      <w:r>
        <w:rPr>
          <w:color w:val="313131"/>
        </w:rPr>
        <w:t xml:space="preserve">(ne </w:t>
      </w:r>
      <w:r>
        <w:rPr>
          <w:i/>
          <w:iCs/>
          <w:color w:val="313131"/>
        </w:rPr>
        <w:t>2.5 kg</w:t>
      </w:r>
      <w:r>
        <w:rPr>
          <w:color w:val="313131"/>
        </w:rPr>
        <w:t xml:space="preserve">), </w:t>
      </w:r>
      <w:r>
        <w:rPr>
          <w:i/>
          <w:iCs/>
          <w:color w:val="313131"/>
        </w:rPr>
        <w:t xml:space="preserve">0,25 g </w:t>
      </w:r>
      <w:r>
        <w:rPr>
          <w:color w:val="313131"/>
        </w:rPr>
        <w:t xml:space="preserve">(ne </w:t>
      </w:r>
      <w:r>
        <w:rPr>
          <w:i/>
          <w:iCs/>
          <w:color w:val="313131"/>
        </w:rPr>
        <w:t>0.25 g</w:t>
      </w:r>
      <w:r>
        <w:rPr>
          <w:color w:val="313131"/>
        </w:rPr>
        <w:t xml:space="preserve">); </w:t>
      </w:r>
      <w:r>
        <w:rPr>
          <w:i/>
          <w:iCs/>
          <w:color w:val="313131"/>
        </w:rPr>
        <w:t>25,50 Eur (ne 25.50 Eur).</w:t>
      </w:r>
    </w:p>
    <w:p w14:paraId="4467509D" w14:textId="77777777" w:rsidR="00340C26" w:rsidRDefault="00340C26" w:rsidP="00340C26">
      <w:pPr>
        <w:pStyle w:val="prastasiniatinklio"/>
        <w:jc w:val="both"/>
      </w:pPr>
      <w:r>
        <w:rPr>
          <w:rStyle w:val="Emfaz"/>
          <w:rFonts w:eastAsiaTheme="majorEastAsia"/>
          <w:color w:val="010101"/>
        </w:rPr>
        <w:t xml:space="preserve">Jei reikia nurodyti laiko tarpą, nuo kada iki kada kas nors vyks, tarp skaičių nepaliekant tarpelių rašomas </w:t>
      </w:r>
      <w:r>
        <w:rPr>
          <w:rStyle w:val="Emfaz"/>
          <w:rFonts w:eastAsiaTheme="majorEastAsia"/>
          <w:b/>
          <w:bCs/>
          <w:color w:val="434343"/>
        </w:rPr>
        <w:t>brūkšnys (ne brūkšnelis</w:t>
      </w:r>
      <w:r>
        <w:rPr>
          <w:rStyle w:val="Emfaz"/>
          <w:rFonts w:eastAsiaTheme="majorEastAsia"/>
          <w:color w:val="010101"/>
        </w:rPr>
        <w:t xml:space="preserve">), o valandos, dienos ir kt. santrumpos rašomos po paskutinio skaitmens </w:t>
      </w:r>
      <w:r>
        <w:rPr>
          <w:rStyle w:val="Emfaz"/>
          <w:rFonts w:eastAsiaTheme="majorEastAsia"/>
          <w:b/>
          <w:bCs/>
          <w:color w:val="434343"/>
        </w:rPr>
        <w:t>9.00–10.30 val.</w:t>
      </w:r>
      <w:r>
        <w:rPr>
          <w:rStyle w:val="Emfaz"/>
          <w:rFonts w:eastAsiaTheme="majorEastAsia"/>
          <w:color w:val="010101"/>
        </w:rPr>
        <w:t xml:space="preserve"> arba </w:t>
      </w:r>
      <w:r>
        <w:rPr>
          <w:rStyle w:val="Emfaz"/>
          <w:rFonts w:eastAsiaTheme="majorEastAsia"/>
          <w:b/>
          <w:bCs/>
          <w:color w:val="434343"/>
        </w:rPr>
        <w:t>2020 m. birželio 20–30 d.; 2020–2021 m</w:t>
      </w:r>
      <w:r>
        <w:rPr>
          <w:rStyle w:val="Emfaz"/>
          <w:rFonts w:eastAsiaTheme="majorEastAsia"/>
          <w:color w:val="010101"/>
        </w:rPr>
        <w:t>.</w:t>
      </w:r>
    </w:p>
    <w:p w14:paraId="4A8C73A5" w14:textId="77777777" w:rsidR="00340C26" w:rsidRDefault="00340C26" w:rsidP="00340C26">
      <w:pPr>
        <w:pStyle w:val="prastasiniatinklio"/>
        <w:jc w:val="both"/>
      </w:pPr>
      <w:r>
        <w:t> </w:t>
      </w:r>
    </w:p>
    <w:p w14:paraId="093D6E44" w14:textId="77777777" w:rsidR="00340C26" w:rsidRDefault="00340C26" w:rsidP="00340C26">
      <w:pPr>
        <w:pStyle w:val="prastasiniatinklio"/>
        <w:spacing w:before="360" w:beforeAutospacing="0" w:after="360" w:afterAutospacing="0"/>
        <w:jc w:val="both"/>
      </w:pPr>
      <w:r>
        <w:rPr>
          <w:i/>
          <w:iCs/>
          <w:color w:val="313131"/>
        </w:rPr>
        <w:t>Pagal Valstybinės lietuvių kalbos komisijos nutarimus, Konsultacijų banko informaciją atmintinę parengė Kultūros, turizmo ir komunikacijos skyriaus vyriausioji specialistė (kalbos tvarkytoja) Inga Radzevičienė.</w:t>
      </w:r>
    </w:p>
    <w:p w14:paraId="4436A7CD" w14:textId="77777777" w:rsidR="00340C26" w:rsidRDefault="00340C26"/>
    <w:sectPr w:rsidR="00340C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26"/>
    <w:rsid w:val="00340C26"/>
    <w:rsid w:val="006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9A84"/>
  <w15:chartTrackingRefBased/>
  <w15:docId w15:val="{4F2F4533-4D7F-41D8-ABE7-A9064098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4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0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0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0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0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0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0C2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0C2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0C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0C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0C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0C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0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4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0C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40C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40C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0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0C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0C26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34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40C26"/>
    <w:rPr>
      <w:b/>
      <w:bCs/>
    </w:rPr>
  </w:style>
  <w:style w:type="character" w:styleId="Emfaz">
    <w:name w:val="Emphasis"/>
    <w:basedOn w:val="Numatytasispastraiposriftas"/>
    <w:uiPriority w:val="20"/>
    <w:qFormat/>
    <w:rsid w:val="00340C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2070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 Sakevičiūtė</dc:creator>
  <cp:keywords/>
  <dc:description/>
  <cp:lastModifiedBy>Silvija  Sakevičiūtė</cp:lastModifiedBy>
  <cp:revision>1</cp:revision>
  <dcterms:created xsi:type="dcterms:W3CDTF">2025-07-08T13:36:00Z</dcterms:created>
  <dcterms:modified xsi:type="dcterms:W3CDTF">2025-07-08T13:36:00Z</dcterms:modified>
</cp:coreProperties>
</file>