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22B" w:rsidRDefault="00F57FC4">
      <w:pPr>
        <w:ind w:left="5245"/>
      </w:pPr>
      <w:bookmarkStart w:id="0" w:name="_GoBack"/>
      <w:bookmarkEnd w:id="0"/>
      <w:r>
        <w:t>PATVIRTINTA</w:t>
      </w:r>
    </w:p>
    <w:p w:rsidR="00C9122B" w:rsidRDefault="00F57FC4">
      <w:pPr>
        <w:ind w:left="5245" w:firstLine="12"/>
      </w:pPr>
      <w:r>
        <w:t>Lietuvos Respublikos finansų ministro</w:t>
      </w:r>
    </w:p>
    <w:p w:rsidR="00C9122B" w:rsidRDefault="00F57FC4">
      <w:pPr>
        <w:ind w:left="5245" w:firstLine="12"/>
      </w:pPr>
      <w:r>
        <w:t xml:space="preserve">2024 m. liepos 11 d. įsakymu Nr.  </w:t>
      </w:r>
      <w:r>
        <w:rPr>
          <w:color w:val="000000"/>
        </w:rPr>
        <w:t>1K-234</w:t>
      </w:r>
    </w:p>
    <w:p w:rsidR="00C9122B" w:rsidRDefault="00C9122B">
      <w:pPr>
        <w:ind w:left="5245" w:firstLine="12"/>
      </w:pPr>
    </w:p>
    <w:p w:rsidR="00C9122B" w:rsidRDefault="00F57FC4">
      <w:pPr>
        <w:ind w:firstLine="12"/>
        <w:jc w:val="center"/>
        <w:rPr>
          <w:b/>
        </w:rPr>
      </w:pPr>
      <w:r>
        <w:rPr>
          <w:b/>
        </w:rPr>
        <w:t>(Labdaros ir paramos fondo veiklos ataskaitos forma)</w:t>
      </w:r>
    </w:p>
    <w:p w:rsidR="00C9122B" w:rsidRDefault="00C9122B">
      <w:pPr>
        <w:ind w:firstLine="12"/>
        <w:jc w:val="center"/>
        <w:rPr>
          <w:b/>
        </w:rPr>
      </w:pPr>
    </w:p>
    <w:p w:rsidR="00C9122B" w:rsidRDefault="00F57FC4">
      <w:pPr>
        <w:ind w:firstLine="12"/>
        <w:jc w:val="center"/>
      </w:pPr>
      <w:r>
        <w:t>_____________________________________________________________________</w:t>
      </w:r>
    </w:p>
    <w:p w:rsidR="00C9122B" w:rsidRDefault="00F57FC4">
      <w:pPr>
        <w:ind w:firstLine="12"/>
        <w:jc w:val="center"/>
      </w:pPr>
      <w:r>
        <w:t>(labdaros ir paramos fondo pavadinimas)</w:t>
      </w:r>
    </w:p>
    <w:p w:rsidR="00C9122B" w:rsidRDefault="00C9122B">
      <w:pPr>
        <w:ind w:firstLine="12"/>
        <w:jc w:val="center"/>
      </w:pPr>
    </w:p>
    <w:p w:rsidR="00C9122B" w:rsidRDefault="00C9122B"/>
    <w:p w:rsidR="00C9122B" w:rsidRDefault="00F57FC4">
      <w:pPr>
        <w:ind w:firstLine="12"/>
        <w:jc w:val="center"/>
        <w:rPr>
          <w:b/>
        </w:rPr>
      </w:pPr>
      <w:r>
        <w:rPr>
          <w:b/>
        </w:rPr>
        <w:t>___________________________ VEIKLOS ATASKAITA</w:t>
      </w:r>
    </w:p>
    <w:p w:rsidR="00C9122B" w:rsidRDefault="00F57FC4">
      <w:pPr>
        <w:ind w:left="1298" w:firstLine="1298"/>
        <w:rPr>
          <w:b/>
        </w:rPr>
      </w:pPr>
      <w:r>
        <w:t>(ataskaitinis laikotarpis)</w:t>
      </w:r>
    </w:p>
    <w:p w:rsidR="00C9122B" w:rsidRDefault="00C9122B"/>
    <w:p w:rsidR="00C9122B" w:rsidRDefault="00F57FC4">
      <w:pPr>
        <w:suppressAutoHyphens/>
        <w:jc w:val="center"/>
        <w:textAlignment w:val="baseline"/>
        <w:rPr>
          <w:szCs w:val="24"/>
        </w:rPr>
      </w:pPr>
      <w:r>
        <w:rPr>
          <w:szCs w:val="24"/>
        </w:rPr>
        <w:t>______ Nr. ______</w:t>
      </w:r>
    </w:p>
    <w:p w:rsidR="00C9122B" w:rsidRDefault="00F57FC4">
      <w:pPr>
        <w:suppressAutoHyphens/>
        <w:ind w:left="3894"/>
        <w:textAlignment w:val="baseline"/>
        <w:rPr>
          <w:szCs w:val="24"/>
        </w:rPr>
      </w:pPr>
      <w:r>
        <w:rPr>
          <w:szCs w:val="24"/>
        </w:rPr>
        <w:t>(data)</w:t>
      </w:r>
    </w:p>
    <w:p w:rsidR="00C9122B" w:rsidRDefault="00C9122B">
      <w:pPr>
        <w:spacing w:line="276" w:lineRule="auto"/>
        <w:ind w:firstLine="709"/>
        <w:jc w:val="both"/>
        <w:rPr>
          <w:i/>
          <w:color w:val="808080"/>
          <w:szCs w:val="24"/>
        </w:rPr>
      </w:pPr>
    </w:p>
    <w:p w:rsidR="00C9122B" w:rsidRDefault="00F57FC4">
      <w:pPr>
        <w:spacing w:line="276" w:lineRule="auto"/>
        <w:ind w:firstLine="709"/>
        <w:jc w:val="both"/>
        <w:rPr>
          <w:i/>
          <w:color w:val="808080"/>
          <w:szCs w:val="24"/>
        </w:rPr>
      </w:pPr>
      <w:r>
        <w:rPr>
          <w:i/>
          <w:color w:val="808080"/>
          <w:szCs w:val="24"/>
        </w:rPr>
        <w:t>Pasviruoju šriftu ir pilka spalva pažymėtas tekstas pildant ataskaitos formą ištrinamas.</w:t>
      </w:r>
    </w:p>
    <w:p w:rsidR="00C9122B" w:rsidRDefault="00C9122B">
      <w:pPr>
        <w:suppressAutoHyphens/>
        <w:textAlignment w:val="baseline"/>
        <w:rPr>
          <w:b/>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5"/>
        <w:gridCol w:w="6591"/>
        <w:gridCol w:w="2392"/>
      </w:tblGrid>
      <w:tr w:rsidR="00C9122B">
        <w:tc>
          <w:tcPr>
            <w:tcW w:w="9628" w:type="dxa"/>
            <w:gridSpan w:val="3"/>
          </w:tcPr>
          <w:p w:rsidR="00C9122B" w:rsidRDefault="00F57FC4">
            <w:pPr>
              <w:tabs>
                <w:tab w:val="left" w:pos="262"/>
                <w:tab w:val="left" w:pos="523"/>
                <w:tab w:val="left" w:pos="795"/>
              </w:tabs>
              <w:jc w:val="center"/>
              <w:rPr>
                <w:b/>
                <w:color w:val="000000"/>
              </w:rPr>
            </w:pPr>
            <w:r>
              <w:rPr>
                <w:b/>
                <w:color w:val="000000"/>
              </w:rPr>
              <w:t>I SKYRIUS</w:t>
            </w:r>
          </w:p>
          <w:p w:rsidR="00C9122B" w:rsidRDefault="00F57FC4">
            <w:pPr>
              <w:tabs>
                <w:tab w:val="left" w:pos="262"/>
                <w:tab w:val="left" w:pos="523"/>
                <w:tab w:val="left" w:pos="795"/>
              </w:tabs>
              <w:jc w:val="center"/>
              <w:rPr>
                <w:b/>
              </w:rPr>
            </w:pPr>
            <w:r>
              <w:rPr>
                <w:b/>
                <w:color w:val="000000"/>
              </w:rPr>
              <w:t>INFORMACIJA APIE VEIKLĄ ATASKAITINIU LAIKOTARPIU</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1. Veiklos tikslai:</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1.1.</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1.2.</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1.3.</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2. Uždaviniai:</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2.1.</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2.2.</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2.3.</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3. S</w:t>
            </w:r>
            <w:r>
              <w:t>iekiant veiklos tikslų atlikti darbai:</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3.1.</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3.2.</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3.3.</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w:t>
            </w:r>
          </w:p>
        </w:tc>
      </w:tr>
      <w:tr w:rsidR="00C9122B">
        <w:tc>
          <w:tcPr>
            <w:tcW w:w="9628" w:type="dxa"/>
            <w:gridSpan w:val="3"/>
          </w:tcPr>
          <w:p w:rsidR="00C9122B" w:rsidRDefault="00F57FC4">
            <w:pPr>
              <w:tabs>
                <w:tab w:val="left" w:pos="262"/>
                <w:tab w:val="left" w:pos="523"/>
                <w:tab w:val="left" w:pos="795"/>
              </w:tabs>
              <w:jc w:val="center"/>
              <w:rPr>
                <w:b/>
                <w:color w:val="000000"/>
              </w:rPr>
            </w:pPr>
            <w:r>
              <w:rPr>
                <w:b/>
                <w:color w:val="000000"/>
              </w:rPr>
              <w:t>II SKYRIUS</w:t>
            </w:r>
          </w:p>
          <w:p w:rsidR="00C9122B" w:rsidRDefault="00F57FC4">
            <w:pPr>
              <w:tabs>
                <w:tab w:val="left" w:pos="262"/>
                <w:tab w:val="left" w:pos="523"/>
                <w:tab w:val="left" w:pos="795"/>
              </w:tabs>
              <w:jc w:val="center"/>
              <w:rPr>
                <w:b/>
                <w:color w:val="000000"/>
              </w:rPr>
            </w:pPr>
            <w:r>
              <w:rPr>
                <w:b/>
                <w:color w:val="000000"/>
              </w:rPr>
              <w:t>INFORMACIJA APIE PLANUOJAMĄ VEIKLĄ ATEINANČIAIS FINANSINIAIS METAIS</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4. Veiklos tikslai:</w:t>
            </w:r>
          </w:p>
        </w:tc>
      </w:tr>
      <w:tr w:rsidR="00C9122B">
        <w:tc>
          <w:tcPr>
            <w:tcW w:w="9628" w:type="dxa"/>
            <w:gridSpan w:val="3"/>
          </w:tcPr>
          <w:p w:rsidR="00C9122B" w:rsidRDefault="00F57FC4">
            <w:pPr>
              <w:tabs>
                <w:tab w:val="left" w:pos="262"/>
                <w:tab w:val="left" w:pos="523"/>
                <w:tab w:val="left" w:pos="795"/>
              </w:tabs>
              <w:rPr>
                <w:b/>
                <w:color w:val="000000"/>
              </w:rPr>
            </w:pPr>
            <w:r>
              <w:t>4.1.</w:t>
            </w:r>
          </w:p>
        </w:tc>
      </w:tr>
      <w:tr w:rsidR="00C9122B">
        <w:tc>
          <w:tcPr>
            <w:tcW w:w="9628" w:type="dxa"/>
            <w:gridSpan w:val="3"/>
          </w:tcPr>
          <w:p w:rsidR="00C9122B" w:rsidRDefault="00F57FC4">
            <w:pPr>
              <w:tabs>
                <w:tab w:val="left" w:pos="262"/>
                <w:tab w:val="left" w:pos="523"/>
                <w:tab w:val="left" w:pos="795"/>
              </w:tabs>
              <w:rPr>
                <w:b/>
                <w:color w:val="000000"/>
              </w:rPr>
            </w:pPr>
            <w:r>
              <w:t>4.2.</w:t>
            </w:r>
          </w:p>
        </w:tc>
      </w:tr>
      <w:tr w:rsidR="00C9122B">
        <w:tc>
          <w:tcPr>
            <w:tcW w:w="9628" w:type="dxa"/>
            <w:gridSpan w:val="3"/>
          </w:tcPr>
          <w:p w:rsidR="00C9122B" w:rsidRDefault="00F57FC4">
            <w:pPr>
              <w:tabs>
                <w:tab w:val="left" w:pos="262"/>
                <w:tab w:val="left" w:pos="523"/>
                <w:tab w:val="left" w:pos="795"/>
              </w:tabs>
              <w:rPr>
                <w:b/>
                <w:color w:val="000000"/>
              </w:rPr>
            </w:pPr>
            <w:r>
              <w:t>4.3.</w:t>
            </w:r>
          </w:p>
        </w:tc>
      </w:tr>
      <w:tr w:rsidR="00C9122B">
        <w:tc>
          <w:tcPr>
            <w:tcW w:w="9628" w:type="dxa"/>
            <w:gridSpan w:val="3"/>
          </w:tcPr>
          <w:p w:rsidR="00C9122B" w:rsidRDefault="00F57FC4">
            <w:pPr>
              <w:tabs>
                <w:tab w:val="left" w:pos="262"/>
                <w:tab w:val="left" w:pos="523"/>
                <w:tab w:val="left" w:pos="795"/>
              </w:tabs>
              <w:rPr>
                <w:b/>
                <w:color w:val="000000"/>
              </w:rPr>
            </w:pPr>
            <w:r>
              <w:t>...</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5. Uždaviniai:</w:t>
            </w:r>
          </w:p>
        </w:tc>
      </w:tr>
      <w:tr w:rsidR="00C9122B">
        <w:tc>
          <w:tcPr>
            <w:tcW w:w="9628" w:type="dxa"/>
            <w:gridSpan w:val="3"/>
          </w:tcPr>
          <w:p w:rsidR="00C9122B" w:rsidRDefault="00F57FC4">
            <w:pPr>
              <w:tabs>
                <w:tab w:val="left" w:pos="262"/>
                <w:tab w:val="left" w:pos="523"/>
                <w:tab w:val="left" w:pos="795"/>
              </w:tabs>
              <w:rPr>
                <w:b/>
                <w:color w:val="000000"/>
              </w:rPr>
            </w:pPr>
            <w:r>
              <w:t>5.1.</w:t>
            </w:r>
          </w:p>
        </w:tc>
      </w:tr>
      <w:tr w:rsidR="00C9122B">
        <w:tc>
          <w:tcPr>
            <w:tcW w:w="9628" w:type="dxa"/>
            <w:gridSpan w:val="3"/>
          </w:tcPr>
          <w:p w:rsidR="00C9122B" w:rsidRDefault="00F57FC4">
            <w:pPr>
              <w:tabs>
                <w:tab w:val="left" w:pos="262"/>
                <w:tab w:val="left" w:pos="523"/>
                <w:tab w:val="left" w:pos="795"/>
              </w:tabs>
              <w:rPr>
                <w:b/>
                <w:color w:val="000000"/>
              </w:rPr>
            </w:pPr>
            <w:r>
              <w:t>5.2.</w:t>
            </w:r>
          </w:p>
        </w:tc>
      </w:tr>
      <w:tr w:rsidR="00C9122B">
        <w:tc>
          <w:tcPr>
            <w:tcW w:w="9628" w:type="dxa"/>
            <w:gridSpan w:val="3"/>
          </w:tcPr>
          <w:p w:rsidR="00C9122B" w:rsidRDefault="00F57FC4">
            <w:pPr>
              <w:tabs>
                <w:tab w:val="left" w:pos="262"/>
                <w:tab w:val="left" w:pos="523"/>
                <w:tab w:val="left" w:pos="795"/>
              </w:tabs>
              <w:rPr>
                <w:b/>
                <w:color w:val="000000"/>
              </w:rPr>
            </w:pPr>
            <w:r>
              <w:t>5.3.</w:t>
            </w:r>
          </w:p>
        </w:tc>
      </w:tr>
      <w:tr w:rsidR="00C9122B">
        <w:tc>
          <w:tcPr>
            <w:tcW w:w="9628" w:type="dxa"/>
            <w:gridSpan w:val="3"/>
          </w:tcPr>
          <w:p w:rsidR="00C9122B" w:rsidRDefault="00F57FC4">
            <w:pPr>
              <w:tabs>
                <w:tab w:val="left" w:pos="262"/>
                <w:tab w:val="left" w:pos="523"/>
                <w:tab w:val="left" w:pos="795"/>
              </w:tabs>
              <w:rPr>
                <w:b/>
                <w:color w:val="000000"/>
              </w:rPr>
            </w:pPr>
            <w:r>
              <w:t>...</w:t>
            </w:r>
          </w:p>
        </w:tc>
      </w:tr>
      <w:tr w:rsidR="00C9122B">
        <w:tc>
          <w:tcPr>
            <w:tcW w:w="9628" w:type="dxa"/>
            <w:gridSpan w:val="3"/>
          </w:tcPr>
          <w:p w:rsidR="00C9122B" w:rsidRDefault="00F57FC4">
            <w:pPr>
              <w:tabs>
                <w:tab w:val="left" w:pos="262"/>
                <w:tab w:val="left" w:pos="523"/>
                <w:tab w:val="left" w:pos="795"/>
              </w:tabs>
              <w:rPr>
                <w:b/>
                <w:color w:val="000000"/>
              </w:rPr>
            </w:pPr>
            <w:r>
              <w:rPr>
                <w:color w:val="000000"/>
              </w:rPr>
              <w:t>6. S</w:t>
            </w:r>
            <w:r>
              <w:t>iekiant veiklos tikslų planuojami atlikti darbai:</w:t>
            </w:r>
          </w:p>
        </w:tc>
      </w:tr>
      <w:tr w:rsidR="00C9122B">
        <w:tc>
          <w:tcPr>
            <w:tcW w:w="9628" w:type="dxa"/>
            <w:gridSpan w:val="3"/>
          </w:tcPr>
          <w:p w:rsidR="00C9122B" w:rsidRDefault="00F57FC4">
            <w:pPr>
              <w:tabs>
                <w:tab w:val="left" w:pos="262"/>
                <w:tab w:val="left" w:pos="523"/>
                <w:tab w:val="left" w:pos="795"/>
              </w:tabs>
              <w:rPr>
                <w:b/>
                <w:color w:val="000000"/>
              </w:rPr>
            </w:pPr>
            <w:r>
              <w:t>6.1.</w:t>
            </w:r>
          </w:p>
        </w:tc>
      </w:tr>
      <w:tr w:rsidR="00C9122B">
        <w:tc>
          <w:tcPr>
            <w:tcW w:w="9628" w:type="dxa"/>
            <w:gridSpan w:val="3"/>
          </w:tcPr>
          <w:p w:rsidR="00C9122B" w:rsidRDefault="00F57FC4">
            <w:pPr>
              <w:tabs>
                <w:tab w:val="left" w:pos="262"/>
                <w:tab w:val="left" w:pos="523"/>
                <w:tab w:val="left" w:pos="795"/>
              </w:tabs>
              <w:rPr>
                <w:b/>
                <w:color w:val="000000"/>
              </w:rPr>
            </w:pPr>
            <w:r>
              <w:t>6.2.</w:t>
            </w:r>
          </w:p>
        </w:tc>
      </w:tr>
      <w:tr w:rsidR="00C9122B">
        <w:tc>
          <w:tcPr>
            <w:tcW w:w="9628" w:type="dxa"/>
            <w:gridSpan w:val="3"/>
          </w:tcPr>
          <w:p w:rsidR="00C9122B" w:rsidRDefault="00F57FC4">
            <w:pPr>
              <w:tabs>
                <w:tab w:val="left" w:pos="262"/>
                <w:tab w:val="left" w:pos="523"/>
                <w:tab w:val="left" w:pos="795"/>
              </w:tabs>
              <w:rPr>
                <w:b/>
                <w:color w:val="000000"/>
              </w:rPr>
            </w:pPr>
            <w:r>
              <w:t>6.3.</w:t>
            </w:r>
          </w:p>
        </w:tc>
      </w:tr>
      <w:tr w:rsidR="00C9122B">
        <w:tc>
          <w:tcPr>
            <w:tcW w:w="9628" w:type="dxa"/>
            <w:gridSpan w:val="3"/>
          </w:tcPr>
          <w:p w:rsidR="00C9122B" w:rsidRDefault="00F57FC4">
            <w:pPr>
              <w:tabs>
                <w:tab w:val="left" w:pos="262"/>
                <w:tab w:val="left" w:pos="523"/>
                <w:tab w:val="left" w:pos="795"/>
              </w:tabs>
              <w:rPr>
                <w:b/>
                <w:color w:val="000000"/>
              </w:rPr>
            </w:pPr>
            <w:r>
              <w:lastRenderedPageBreak/>
              <w:t>...</w:t>
            </w:r>
          </w:p>
        </w:tc>
      </w:tr>
      <w:tr w:rsidR="00C9122B">
        <w:tc>
          <w:tcPr>
            <w:tcW w:w="9628" w:type="dxa"/>
            <w:gridSpan w:val="3"/>
          </w:tcPr>
          <w:p w:rsidR="00C9122B" w:rsidRDefault="00F57FC4">
            <w:pPr>
              <w:tabs>
                <w:tab w:val="left" w:pos="262"/>
                <w:tab w:val="left" w:pos="523"/>
                <w:tab w:val="left" w:pos="841"/>
              </w:tabs>
              <w:jc w:val="center"/>
              <w:rPr>
                <w:b/>
              </w:rPr>
            </w:pPr>
            <w:r>
              <w:rPr>
                <w:b/>
              </w:rPr>
              <w:t>III SKYRIUS</w:t>
            </w:r>
          </w:p>
          <w:p w:rsidR="00C9122B" w:rsidRDefault="00F57FC4">
            <w:pPr>
              <w:tabs>
                <w:tab w:val="left" w:pos="262"/>
                <w:tab w:val="left" w:pos="523"/>
                <w:tab w:val="left" w:pos="841"/>
              </w:tabs>
              <w:jc w:val="center"/>
              <w:rPr>
                <w:b/>
              </w:rPr>
            </w:pPr>
            <w:r>
              <w:rPr>
                <w:b/>
              </w:rPr>
              <w:t>INFORMACIJA APIE DALININKUS</w:t>
            </w:r>
          </w:p>
        </w:tc>
      </w:tr>
      <w:tr w:rsidR="00C9122B">
        <w:tc>
          <w:tcPr>
            <w:tcW w:w="9628" w:type="dxa"/>
            <w:gridSpan w:val="3"/>
          </w:tcPr>
          <w:p w:rsidR="00C9122B" w:rsidRDefault="00F57FC4">
            <w:pPr>
              <w:tabs>
                <w:tab w:val="left" w:pos="262"/>
                <w:tab w:val="left" w:pos="523"/>
                <w:tab w:val="left" w:pos="841"/>
              </w:tabs>
              <w:rPr>
                <w:bCs/>
              </w:rPr>
            </w:pPr>
            <w:r>
              <w:rPr>
                <w:bCs/>
              </w:rPr>
              <w:t>7. Informacija apie dalininkus:</w:t>
            </w:r>
          </w:p>
        </w:tc>
      </w:tr>
      <w:tr w:rsidR="00C9122B">
        <w:trPr>
          <w:trHeight w:val="424"/>
        </w:trPr>
        <w:tc>
          <w:tcPr>
            <w:tcW w:w="645" w:type="dxa"/>
          </w:tcPr>
          <w:p w:rsidR="00C9122B" w:rsidRDefault="00F57FC4">
            <w:pPr>
              <w:tabs>
                <w:tab w:val="left" w:pos="142"/>
                <w:tab w:val="left" w:pos="840"/>
              </w:tabs>
            </w:pPr>
            <w:r>
              <w:t>7.1.</w:t>
            </w:r>
          </w:p>
        </w:tc>
        <w:tc>
          <w:tcPr>
            <w:tcW w:w="6591" w:type="dxa"/>
          </w:tcPr>
          <w:p w:rsidR="00C9122B" w:rsidRDefault="00F57FC4">
            <w:pPr>
              <w:tabs>
                <w:tab w:val="left" w:pos="262"/>
                <w:tab w:val="left" w:pos="523"/>
                <w:tab w:val="left" w:pos="840"/>
              </w:tabs>
            </w:pPr>
            <w:r>
              <w:t xml:space="preserve">Dalininkų skaičius </w:t>
            </w:r>
            <w:r>
              <w:rPr>
                <w:color w:val="000000"/>
              </w:rPr>
              <w:t>finansinių metų pabaigoje, vnt. </w:t>
            </w:r>
          </w:p>
        </w:tc>
        <w:tc>
          <w:tcPr>
            <w:tcW w:w="2392" w:type="dxa"/>
          </w:tcPr>
          <w:p w:rsidR="00C9122B" w:rsidRDefault="00C9122B">
            <w:pPr>
              <w:tabs>
                <w:tab w:val="left" w:pos="262"/>
                <w:tab w:val="left" w:pos="523"/>
                <w:tab w:val="left" w:pos="841"/>
              </w:tabs>
              <w:jc w:val="center"/>
            </w:pPr>
          </w:p>
        </w:tc>
      </w:tr>
      <w:tr w:rsidR="00C9122B">
        <w:trPr>
          <w:trHeight w:val="424"/>
        </w:trPr>
        <w:tc>
          <w:tcPr>
            <w:tcW w:w="645" w:type="dxa"/>
          </w:tcPr>
          <w:p w:rsidR="00C9122B" w:rsidRDefault="00F57FC4">
            <w:pPr>
              <w:tabs>
                <w:tab w:val="left" w:pos="262"/>
                <w:tab w:val="left" w:pos="523"/>
                <w:tab w:val="left" w:pos="840"/>
              </w:tabs>
            </w:pPr>
            <w:r>
              <w:t>7.2.</w:t>
            </w:r>
          </w:p>
        </w:tc>
        <w:tc>
          <w:tcPr>
            <w:tcW w:w="6591" w:type="dxa"/>
          </w:tcPr>
          <w:p w:rsidR="00C9122B" w:rsidRDefault="00F57FC4">
            <w:pPr>
              <w:tabs>
                <w:tab w:val="left" w:pos="262"/>
                <w:tab w:val="left" w:pos="523"/>
                <w:tab w:val="left" w:pos="840"/>
              </w:tabs>
            </w:pPr>
            <w:r>
              <w:t xml:space="preserve">Dalininkų skaičius praėjusių </w:t>
            </w:r>
            <w:r>
              <w:rPr>
                <w:color w:val="000000"/>
              </w:rPr>
              <w:t>finansinių metų pabaigoje, vnt. </w:t>
            </w:r>
          </w:p>
        </w:tc>
        <w:tc>
          <w:tcPr>
            <w:tcW w:w="2392" w:type="dxa"/>
          </w:tcPr>
          <w:p w:rsidR="00C9122B" w:rsidRDefault="00C9122B">
            <w:pPr>
              <w:tabs>
                <w:tab w:val="left" w:pos="262"/>
                <w:tab w:val="left" w:pos="523"/>
                <w:tab w:val="left" w:pos="841"/>
              </w:tabs>
              <w:jc w:val="center"/>
            </w:pPr>
          </w:p>
        </w:tc>
      </w:tr>
      <w:tr w:rsidR="00C9122B">
        <w:trPr>
          <w:trHeight w:val="338"/>
        </w:trPr>
        <w:tc>
          <w:tcPr>
            <w:tcW w:w="9628" w:type="dxa"/>
            <w:gridSpan w:val="3"/>
          </w:tcPr>
          <w:p w:rsidR="00C9122B" w:rsidRDefault="00F57FC4">
            <w:pPr>
              <w:tabs>
                <w:tab w:val="left" w:pos="262"/>
                <w:tab w:val="left" w:pos="523"/>
                <w:tab w:val="left" w:pos="841"/>
              </w:tabs>
              <w:ind w:left="720"/>
              <w:jc w:val="center"/>
              <w:rPr>
                <w:b/>
              </w:rPr>
            </w:pPr>
            <w:r>
              <w:rPr>
                <w:b/>
              </w:rPr>
              <w:t>IV SKYRIUS</w:t>
            </w:r>
          </w:p>
          <w:p w:rsidR="00C9122B" w:rsidRDefault="00F57FC4">
            <w:pPr>
              <w:tabs>
                <w:tab w:val="left" w:pos="262"/>
                <w:tab w:val="left" w:pos="523"/>
                <w:tab w:val="left" w:pos="841"/>
              </w:tabs>
              <w:ind w:left="720"/>
              <w:jc w:val="center"/>
              <w:rPr>
                <w:b/>
              </w:rPr>
            </w:pPr>
            <w:r>
              <w:rPr>
                <w:b/>
              </w:rPr>
              <w:t xml:space="preserve">SU NELIEČIAMOJO KAPITALO VALDYMU SUSIJUSI PASKUTINIŲ FINANSINIŲ METŲ INFORMACIJA </w:t>
            </w:r>
          </w:p>
          <w:p w:rsidR="00C9122B" w:rsidRDefault="00F57FC4">
            <w:pPr>
              <w:tabs>
                <w:tab w:val="left" w:pos="262"/>
                <w:tab w:val="left" w:pos="523"/>
                <w:tab w:val="left" w:pos="841"/>
              </w:tabs>
              <w:ind w:left="720"/>
              <w:jc w:val="center"/>
              <w:rPr>
                <w:i/>
                <w:color w:val="A6A6A6"/>
              </w:rPr>
            </w:pPr>
            <w:r>
              <w:rPr>
                <w:i/>
                <w:color w:val="A6A6A6"/>
              </w:rPr>
              <w:t>(pildo labdaros ir paramos fondai, kurie valdo neliečiamąjį kapitalą)</w:t>
            </w:r>
          </w:p>
        </w:tc>
      </w:tr>
      <w:tr w:rsidR="00C9122B">
        <w:trPr>
          <w:trHeight w:val="338"/>
        </w:trPr>
        <w:tc>
          <w:tcPr>
            <w:tcW w:w="9628" w:type="dxa"/>
            <w:gridSpan w:val="3"/>
          </w:tcPr>
          <w:p w:rsidR="00C9122B" w:rsidRDefault="00F57FC4">
            <w:pPr>
              <w:tabs>
                <w:tab w:val="left" w:pos="262"/>
                <w:tab w:val="left" w:pos="523"/>
              </w:tabs>
              <w:ind w:left="22"/>
              <w:rPr>
                <w:bCs/>
              </w:rPr>
            </w:pPr>
            <w:r>
              <w:rPr>
                <w:bCs/>
              </w:rPr>
              <w:t>8. Su neliečiamojo kapitalo valdymu susijusi paskutinių finansinių metų informacija:</w:t>
            </w:r>
          </w:p>
        </w:tc>
      </w:tr>
      <w:tr w:rsidR="00C9122B">
        <w:trPr>
          <w:trHeight w:val="338"/>
        </w:trPr>
        <w:tc>
          <w:tcPr>
            <w:tcW w:w="9628" w:type="dxa"/>
            <w:gridSpan w:val="3"/>
          </w:tcPr>
          <w:p w:rsidR="00C9122B" w:rsidRDefault="00F57FC4">
            <w:pPr>
              <w:tabs>
                <w:tab w:val="left" w:pos="262"/>
                <w:tab w:val="left" w:pos="523"/>
              </w:tabs>
              <w:ind w:left="22"/>
              <w:rPr>
                <w:bCs/>
              </w:rPr>
            </w:pPr>
            <w:r>
              <w:rPr>
                <w:color w:val="000000"/>
                <w:szCs w:val="24"/>
              </w:rPr>
              <w:t>8.1. Neliečiamajam kapitalui perduotų lėšų gavimo šaltiniai</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8.2. Iš neliečiamojo kapitalo investavimo gautos pajamos</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8.3. Iš neliečiamojo kapitalo investavimo gautų pajamų panaudojimas</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8.4. Neliečiamojo kapitalo investavimas pagal turto rūšis</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8.5. Neliečiamojo kapitalo investavimas pagal rizikos klases</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8.6. Neliečiamojo kapitalo investavimas pagal investavimo laikotarpius</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8.7. Neliečiamojo kapitalo investavimo strategijos pokytis</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8.8. Sumažėjusio neliečiamojo kapitalo atkūrimo būdai</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38"/>
        </w:trPr>
        <w:tc>
          <w:tcPr>
            <w:tcW w:w="9628" w:type="dxa"/>
            <w:gridSpan w:val="3"/>
          </w:tcPr>
          <w:p w:rsidR="00C9122B" w:rsidRDefault="00F57FC4">
            <w:pPr>
              <w:tabs>
                <w:tab w:val="left" w:pos="262"/>
                <w:tab w:val="left" w:pos="523"/>
              </w:tabs>
              <w:ind w:left="22"/>
              <w:rPr>
                <w:color w:val="000000"/>
                <w:szCs w:val="24"/>
              </w:rPr>
            </w:pPr>
            <w:r>
              <w:rPr>
                <w:color w:val="000000"/>
                <w:szCs w:val="24"/>
              </w:rPr>
              <w:t>8.9. Išlaidos, susijusios su neliečiamojo kapitalo administravimu</w:t>
            </w:r>
          </w:p>
        </w:tc>
      </w:tr>
      <w:tr w:rsidR="00C9122B">
        <w:trPr>
          <w:trHeight w:val="338"/>
        </w:trPr>
        <w:tc>
          <w:tcPr>
            <w:tcW w:w="9628" w:type="dxa"/>
            <w:gridSpan w:val="3"/>
          </w:tcPr>
          <w:p w:rsidR="00C9122B" w:rsidRDefault="00C9122B">
            <w:pPr>
              <w:tabs>
                <w:tab w:val="left" w:pos="262"/>
                <w:tab w:val="left" w:pos="523"/>
              </w:tabs>
              <w:ind w:left="22"/>
              <w:rPr>
                <w:color w:val="000000"/>
                <w:szCs w:val="24"/>
              </w:rPr>
            </w:pPr>
          </w:p>
        </w:tc>
      </w:tr>
      <w:tr w:rsidR="00C9122B">
        <w:trPr>
          <w:trHeight w:val="321"/>
        </w:trPr>
        <w:tc>
          <w:tcPr>
            <w:tcW w:w="9628" w:type="dxa"/>
            <w:gridSpan w:val="3"/>
          </w:tcPr>
          <w:p w:rsidR="00C9122B" w:rsidRDefault="00F57FC4">
            <w:pPr>
              <w:tabs>
                <w:tab w:val="left" w:pos="262"/>
                <w:tab w:val="left" w:pos="523"/>
                <w:tab w:val="left" w:pos="841"/>
              </w:tabs>
              <w:jc w:val="center"/>
              <w:rPr>
                <w:b/>
              </w:rPr>
            </w:pPr>
            <w:r>
              <w:rPr>
                <w:b/>
              </w:rPr>
              <w:t>V SKYRIUS</w:t>
            </w:r>
          </w:p>
          <w:p w:rsidR="00C9122B" w:rsidRDefault="00F57FC4">
            <w:pPr>
              <w:tabs>
                <w:tab w:val="left" w:pos="262"/>
                <w:tab w:val="left" w:pos="523"/>
                <w:tab w:val="left" w:pos="841"/>
              </w:tabs>
              <w:jc w:val="center"/>
              <w:rPr>
                <w:b/>
              </w:rPr>
            </w:pPr>
            <w:r>
              <w:rPr>
                <w:b/>
              </w:rPr>
              <w:t>KITA INFORMACIJA</w:t>
            </w:r>
          </w:p>
        </w:tc>
      </w:tr>
      <w:tr w:rsidR="00C9122B">
        <w:trPr>
          <w:trHeight w:val="1323"/>
        </w:trPr>
        <w:tc>
          <w:tcPr>
            <w:tcW w:w="9628" w:type="dxa"/>
            <w:gridSpan w:val="3"/>
          </w:tcPr>
          <w:p w:rsidR="00C9122B" w:rsidRDefault="00F57FC4">
            <w:pPr>
              <w:tabs>
                <w:tab w:val="left" w:pos="262"/>
                <w:tab w:val="left" w:pos="523"/>
                <w:tab w:val="left" w:pos="841"/>
              </w:tabs>
              <w:jc w:val="both"/>
            </w:pPr>
            <w:r>
              <w:rPr>
                <w:i/>
                <w:iCs/>
                <w:color w:val="808080"/>
              </w:rPr>
              <w:t>Čia pateikiama kita informacija, kurią nusprendžia pateikti valdymo organas ar visuotinis dalininkų susirinkimas. Jei informacija yra didelės apimties, ji gali būti teikiama kita forma, čia pateikiant nuorodą, kur ją galima rasti.</w:t>
            </w:r>
          </w:p>
        </w:tc>
      </w:tr>
    </w:tbl>
    <w:p w:rsidR="00C9122B" w:rsidRDefault="00C9122B">
      <w:pPr>
        <w:tabs>
          <w:tab w:val="left" w:pos="4111"/>
          <w:tab w:val="left" w:pos="6946"/>
        </w:tabs>
        <w:rPr>
          <w:szCs w:val="24"/>
        </w:rPr>
      </w:pPr>
    </w:p>
    <w:p w:rsidR="00C9122B" w:rsidRDefault="00F57FC4">
      <w:pPr>
        <w:tabs>
          <w:tab w:val="left" w:pos="6237"/>
          <w:tab w:val="right" w:pos="8306"/>
        </w:tabs>
        <w:jc w:val="center"/>
        <w:rPr>
          <w:color w:val="000000"/>
          <w:lang w:eastAsia="lt-LT"/>
        </w:rPr>
      </w:pPr>
      <w:r>
        <w:rPr>
          <w:color w:val="000000"/>
          <w:lang w:eastAsia="lt-LT"/>
        </w:rPr>
        <w:t>––––––––––––––––––––</w:t>
      </w:r>
    </w:p>
    <w:p w:rsidR="00C9122B" w:rsidRDefault="00C9122B">
      <w:pPr>
        <w:ind w:firstLine="12"/>
      </w:pPr>
    </w:p>
    <w:sectPr w:rsidR="00C9122B" w:rsidSect="00F57FC4">
      <w:headerReference w:type="even" r:id="rId7"/>
      <w:headerReference w:type="default" r:id="rId8"/>
      <w:footerReference w:type="even" r:id="rId9"/>
      <w:footerReference w:type="default" r:id="rId10"/>
      <w:headerReference w:type="first" r:id="rId11"/>
      <w:footerReference w:type="first" r:id="rId12"/>
      <w:pgSz w:w="11906" w:h="16838" w:code="9"/>
      <w:pgMar w:top="993" w:right="567" w:bottom="993" w:left="1701" w:header="560" w:footer="686"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809" w:rsidRDefault="00481809">
      <w:r>
        <w:separator/>
      </w:r>
    </w:p>
  </w:endnote>
  <w:endnote w:type="continuationSeparator" w:id="0">
    <w:p w:rsidR="00481809" w:rsidRDefault="0048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ind w:right="227"/>
      <w:jc w:val="right"/>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809" w:rsidRDefault="00481809">
      <w:r>
        <w:separator/>
      </w:r>
    </w:p>
  </w:footnote>
  <w:footnote w:type="continuationSeparator" w:id="0">
    <w:p w:rsidR="00481809" w:rsidRDefault="00481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F57FC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C9122B" w:rsidRDefault="00C9122B">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836554"/>
      <w:docPartObj>
        <w:docPartGallery w:val="Page Numbers (Top of Page)"/>
        <w:docPartUnique/>
      </w:docPartObj>
    </w:sdtPr>
    <w:sdtEndPr/>
    <w:sdtContent>
      <w:p w:rsidR="00F57FC4" w:rsidRDefault="00F57FC4">
        <w:pPr>
          <w:pStyle w:val="Header"/>
          <w:jc w:val="center"/>
        </w:pPr>
        <w:r>
          <w:fldChar w:fldCharType="begin"/>
        </w:r>
        <w:r>
          <w:instrText>PAGE   \* MERGEFORMAT</w:instrText>
        </w:r>
        <w:r>
          <w:fldChar w:fldCharType="separate"/>
        </w:r>
        <w:r>
          <w:rPr>
            <w:noProof/>
          </w:rPr>
          <w:t>2</w:t>
        </w:r>
        <w:r>
          <w:fldChar w:fldCharType="end"/>
        </w:r>
      </w:p>
    </w:sdtContent>
  </w:sdt>
  <w:p w:rsidR="00C9122B" w:rsidRDefault="00C9122B">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22B" w:rsidRDefault="00C9122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19F"/>
    <w:rsid w:val="0029219F"/>
    <w:rsid w:val="003B1210"/>
    <w:rsid w:val="00481809"/>
    <w:rsid w:val="00560D43"/>
    <w:rsid w:val="00737B9E"/>
    <w:rsid w:val="00BF4ADA"/>
    <w:rsid w:val="00C9122B"/>
    <w:rsid w:val="00F57F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ED20"/>
  <w15:docId w15:val="{3D3270FA-F62D-484C-8DAD-BD6AD525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C4"/>
    <w:pPr>
      <w:tabs>
        <w:tab w:val="center" w:pos="4680"/>
        <w:tab w:val="right" w:pos="9360"/>
      </w:tabs>
    </w:pPr>
    <w:rPr>
      <w:rFonts w:asciiTheme="minorHAnsi" w:eastAsiaTheme="minorEastAsia" w:hAnsiTheme="minorHAnsi"/>
      <w:sz w:val="22"/>
      <w:szCs w:val="22"/>
      <w:lang w:eastAsia="ko-KR"/>
    </w:rPr>
  </w:style>
  <w:style w:type="character" w:customStyle="1" w:styleId="HeaderChar">
    <w:name w:val="Header Char"/>
    <w:basedOn w:val="DefaultParagraphFont"/>
    <w:link w:val="Header"/>
    <w:uiPriority w:val="99"/>
    <w:rsid w:val="00F57FC4"/>
    <w:rPr>
      <w:rFonts w:asciiTheme="minorHAnsi" w:eastAsiaTheme="minorEastAsia" w:hAnsiTheme="minorHAns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9757">
      <w:bodyDiv w:val="1"/>
      <w:marLeft w:val="0"/>
      <w:marRight w:val="0"/>
      <w:marTop w:val="0"/>
      <w:marBottom w:val="0"/>
      <w:divBdr>
        <w:top w:val="none" w:sz="0" w:space="0" w:color="auto"/>
        <w:left w:val="none" w:sz="0" w:space="0" w:color="auto"/>
        <w:bottom w:val="none" w:sz="0" w:space="0" w:color="auto"/>
        <w:right w:val="none" w:sz="0" w:space="0" w:color="auto"/>
      </w:divBdr>
      <w:divsChild>
        <w:div w:id="729352706">
          <w:marLeft w:val="0"/>
          <w:marRight w:val="0"/>
          <w:marTop w:val="0"/>
          <w:marBottom w:val="0"/>
          <w:divBdr>
            <w:top w:val="none" w:sz="0" w:space="0" w:color="auto"/>
            <w:left w:val="none" w:sz="0" w:space="0" w:color="auto"/>
            <w:bottom w:val="none" w:sz="0" w:space="0" w:color="auto"/>
            <w:right w:val="none" w:sz="0" w:space="0" w:color="auto"/>
          </w:divBdr>
          <w:divsChild>
            <w:div w:id="886524664">
              <w:marLeft w:val="0"/>
              <w:marRight w:val="0"/>
              <w:marTop w:val="0"/>
              <w:marBottom w:val="0"/>
              <w:divBdr>
                <w:top w:val="none" w:sz="0" w:space="0" w:color="auto"/>
                <w:left w:val="none" w:sz="0" w:space="0" w:color="auto"/>
                <w:bottom w:val="none" w:sz="0" w:space="0" w:color="auto"/>
                <w:right w:val="none" w:sz="0" w:space="0" w:color="auto"/>
              </w:divBdr>
            </w:div>
            <w:div w:id="445083814">
              <w:marLeft w:val="0"/>
              <w:marRight w:val="0"/>
              <w:marTop w:val="0"/>
              <w:marBottom w:val="0"/>
              <w:divBdr>
                <w:top w:val="none" w:sz="0" w:space="0" w:color="auto"/>
                <w:left w:val="none" w:sz="0" w:space="0" w:color="auto"/>
                <w:bottom w:val="none" w:sz="0" w:space="0" w:color="auto"/>
                <w:right w:val="none" w:sz="0" w:space="0" w:color="auto"/>
              </w:divBdr>
            </w:div>
          </w:divsChild>
        </w:div>
        <w:div w:id="11996978">
          <w:marLeft w:val="0"/>
          <w:marRight w:val="0"/>
          <w:marTop w:val="0"/>
          <w:marBottom w:val="0"/>
          <w:divBdr>
            <w:top w:val="none" w:sz="0" w:space="0" w:color="auto"/>
            <w:left w:val="none" w:sz="0" w:space="0" w:color="auto"/>
            <w:bottom w:val="none" w:sz="0" w:space="0" w:color="auto"/>
            <w:right w:val="none" w:sz="0" w:space="0" w:color="auto"/>
          </w:divBdr>
        </w:div>
      </w:divsChild>
    </w:div>
    <w:div w:id="209852138">
      <w:bodyDiv w:val="1"/>
      <w:marLeft w:val="0"/>
      <w:marRight w:val="0"/>
      <w:marTop w:val="0"/>
      <w:marBottom w:val="0"/>
      <w:divBdr>
        <w:top w:val="none" w:sz="0" w:space="0" w:color="auto"/>
        <w:left w:val="none" w:sz="0" w:space="0" w:color="auto"/>
        <w:bottom w:val="none" w:sz="0" w:space="0" w:color="auto"/>
        <w:right w:val="none" w:sz="0" w:space="0" w:color="auto"/>
      </w:divBdr>
      <w:divsChild>
        <w:div w:id="235675857">
          <w:marLeft w:val="0"/>
          <w:marRight w:val="0"/>
          <w:marTop w:val="0"/>
          <w:marBottom w:val="0"/>
          <w:divBdr>
            <w:top w:val="none" w:sz="0" w:space="0" w:color="auto"/>
            <w:left w:val="none" w:sz="0" w:space="0" w:color="auto"/>
            <w:bottom w:val="none" w:sz="0" w:space="0" w:color="auto"/>
            <w:right w:val="none" w:sz="0" w:space="0" w:color="auto"/>
          </w:divBdr>
        </w:div>
        <w:div w:id="2061632741">
          <w:marLeft w:val="0"/>
          <w:marRight w:val="0"/>
          <w:marTop w:val="0"/>
          <w:marBottom w:val="0"/>
          <w:divBdr>
            <w:top w:val="none" w:sz="0" w:space="0" w:color="auto"/>
            <w:left w:val="none" w:sz="0" w:space="0" w:color="auto"/>
            <w:bottom w:val="none" w:sz="0" w:space="0" w:color="auto"/>
            <w:right w:val="none" w:sz="0" w:space="0" w:color="auto"/>
          </w:divBdr>
        </w:div>
        <w:div w:id="1582640965">
          <w:marLeft w:val="0"/>
          <w:marRight w:val="0"/>
          <w:marTop w:val="0"/>
          <w:marBottom w:val="0"/>
          <w:divBdr>
            <w:top w:val="none" w:sz="0" w:space="0" w:color="auto"/>
            <w:left w:val="none" w:sz="0" w:space="0" w:color="auto"/>
            <w:bottom w:val="none" w:sz="0" w:space="0" w:color="auto"/>
            <w:right w:val="none" w:sz="0" w:space="0" w:color="auto"/>
          </w:divBdr>
        </w:div>
        <w:div w:id="185411233">
          <w:marLeft w:val="0"/>
          <w:marRight w:val="0"/>
          <w:marTop w:val="0"/>
          <w:marBottom w:val="0"/>
          <w:divBdr>
            <w:top w:val="none" w:sz="0" w:space="0" w:color="auto"/>
            <w:left w:val="none" w:sz="0" w:space="0" w:color="auto"/>
            <w:bottom w:val="none" w:sz="0" w:space="0" w:color="auto"/>
            <w:right w:val="none" w:sz="0" w:space="0" w:color="auto"/>
          </w:divBdr>
        </w:div>
        <w:div w:id="264702545">
          <w:marLeft w:val="0"/>
          <w:marRight w:val="0"/>
          <w:marTop w:val="0"/>
          <w:marBottom w:val="0"/>
          <w:divBdr>
            <w:top w:val="none" w:sz="0" w:space="0" w:color="auto"/>
            <w:left w:val="none" w:sz="0" w:space="0" w:color="auto"/>
            <w:bottom w:val="none" w:sz="0" w:space="0" w:color="auto"/>
            <w:right w:val="none" w:sz="0" w:space="0" w:color="auto"/>
          </w:divBdr>
        </w:div>
        <w:div w:id="1335381001">
          <w:marLeft w:val="0"/>
          <w:marRight w:val="0"/>
          <w:marTop w:val="0"/>
          <w:marBottom w:val="0"/>
          <w:divBdr>
            <w:top w:val="none" w:sz="0" w:space="0" w:color="auto"/>
            <w:left w:val="none" w:sz="0" w:space="0" w:color="auto"/>
            <w:bottom w:val="none" w:sz="0" w:space="0" w:color="auto"/>
            <w:right w:val="none" w:sz="0" w:space="0" w:color="auto"/>
          </w:divBdr>
        </w:div>
      </w:divsChild>
    </w:div>
    <w:div w:id="320891776">
      <w:bodyDiv w:val="1"/>
      <w:marLeft w:val="0"/>
      <w:marRight w:val="0"/>
      <w:marTop w:val="0"/>
      <w:marBottom w:val="0"/>
      <w:divBdr>
        <w:top w:val="none" w:sz="0" w:space="0" w:color="auto"/>
        <w:left w:val="none" w:sz="0" w:space="0" w:color="auto"/>
        <w:bottom w:val="none" w:sz="0" w:space="0" w:color="auto"/>
        <w:right w:val="none" w:sz="0" w:space="0" w:color="auto"/>
      </w:divBdr>
    </w:div>
    <w:div w:id="377703599">
      <w:bodyDiv w:val="1"/>
      <w:marLeft w:val="0"/>
      <w:marRight w:val="0"/>
      <w:marTop w:val="0"/>
      <w:marBottom w:val="0"/>
      <w:divBdr>
        <w:top w:val="none" w:sz="0" w:space="0" w:color="auto"/>
        <w:left w:val="none" w:sz="0" w:space="0" w:color="auto"/>
        <w:bottom w:val="none" w:sz="0" w:space="0" w:color="auto"/>
        <w:right w:val="none" w:sz="0" w:space="0" w:color="auto"/>
      </w:divBdr>
      <w:divsChild>
        <w:div w:id="1705865180">
          <w:marLeft w:val="0"/>
          <w:marRight w:val="0"/>
          <w:marTop w:val="0"/>
          <w:marBottom w:val="0"/>
          <w:divBdr>
            <w:top w:val="none" w:sz="0" w:space="0" w:color="auto"/>
            <w:left w:val="none" w:sz="0" w:space="0" w:color="auto"/>
            <w:bottom w:val="none" w:sz="0" w:space="0" w:color="auto"/>
            <w:right w:val="none" w:sz="0" w:space="0" w:color="auto"/>
          </w:divBdr>
        </w:div>
        <w:div w:id="2142074313">
          <w:marLeft w:val="0"/>
          <w:marRight w:val="0"/>
          <w:marTop w:val="0"/>
          <w:marBottom w:val="0"/>
          <w:divBdr>
            <w:top w:val="none" w:sz="0" w:space="0" w:color="auto"/>
            <w:left w:val="none" w:sz="0" w:space="0" w:color="auto"/>
            <w:bottom w:val="none" w:sz="0" w:space="0" w:color="auto"/>
            <w:right w:val="none" w:sz="0" w:space="0" w:color="auto"/>
          </w:divBdr>
        </w:div>
        <w:div w:id="1035665694">
          <w:marLeft w:val="0"/>
          <w:marRight w:val="0"/>
          <w:marTop w:val="0"/>
          <w:marBottom w:val="0"/>
          <w:divBdr>
            <w:top w:val="none" w:sz="0" w:space="0" w:color="auto"/>
            <w:left w:val="none" w:sz="0" w:space="0" w:color="auto"/>
            <w:bottom w:val="none" w:sz="0" w:space="0" w:color="auto"/>
            <w:right w:val="none" w:sz="0" w:space="0" w:color="auto"/>
          </w:divBdr>
        </w:div>
        <w:div w:id="1500001678">
          <w:marLeft w:val="0"/>
          <w:marRight w:val="0"/>
          <w:marTop w:val="0"/>
          <w:marBottom w:val="0"/>
          <w:divBdr>
            <w:top w:val="none" w:sz="0" w:space="0" w:color="auto"/>
            <w:left w:val="none" w:sz="0" w:space="0" w:color="auto"/>
            <w:bottom w:val="none" w:sz="0" w:space="0" w:color="auto"/>
            <w:right w:val="none" w:sz="0" w:space="0" w:color="auto"/>
          </w:divBdr>
        </w:div>
        <w:div w:id="464927459">
          <w:marLeft w:val="0"/>
          <w:marRight w:val="0"/>
          <w:marTop w:val="0"/>
          <w:marBottom w:val="0"/>
          <w:divBdr>
            <w:top w:val="none" w:sz="0" w:space="0" w:color="auto"/>
            <w:left w:val="none" w:sz="0" w:space="0" w:color="auto"/>
            <w:bottom w:val="none" w:sz="0" w:space="0" w:color="auto"/>
            <w:right w:val="none" w:sz="0" w:space="0" w:color="auto"/>
          </w:divBdr>
        </w:div>
        <w:div w:id="1104300094">
          <w:marLeft w:val="0"/>
          <w:marRight w:val="0"/>
          <w:marTop w:val="0"/>
          <w:marBottom w:val="0"/>
          <w:divBdr>
            <w:top w:val="none" w:sz="0" w:space="0" w:color="auto"/>
            <w:left w:val="none" w:sz="0" w:space="0" w:color="auto"/>
            <w:bottom w:val="none" w:sz="0" w:space="0" w:color="auto"/>
            <w:right w:val="none" w:sz="0" w:space="0" w:color="auto"/>
          </w:divBdr>
        </w:div>
      </w:divsChild>
    </w:div>
    <w:div w:id="558634879">
      <w:bodyDiv w:val="1"/>
      <w:marLeft w:val="0"/>
      <w:marRight w:val="0"/>
      <w:marTop w:val="0"/>
      <w:marBottom w:val="0"/>
      <w:divBdr>
        <w:top w:val="none" w:sz="0" w:space="0" w:color="auto"/>
        <w:left w:val="none" w:sz="0" w:space="0" w:color="auto"/>
        <w:bottom w:val="none" w:sz="0" w:space="0" w:color="auto"/>
        <w:right w:val="none" w:sz="0" w:space="0" w:color="auto"/>
      </w:divBdr>
    </w:div>
    <w:div w:id="1718360504">
      <w:bodyDiv w:val="1"/>
      <w:marLeft w:val="0"/>
      <w:marRight w:val="0"/>
      <w:marTop w:val="0"/>
      <w:marBottom w:val="0"/>
      <w:divBdr>
        <w:top w:val="none" w:sz="0" w:space="0" w:color="auto"/>
        <w:left w:val="none" w:sz="0" w:space="0" w:color="auto"/>
        <w:bottom w:val="none" w:sz="0" w:space="0" w:color="auto"/>
        <w:right w:val="none" w:sz="0" w:space="0" w:color="auto"/>
      </w:divBdr>
    </w:div>
    <w:div w:id="2060089339">
      <w:bodyDiv w:val="1"/>
      <w:marLeft w:val="0"/>
      <w:marRight w:val="0"/>
      <w:marTop w:val="0"/>
      <w:marBottom w:val="0"/>
      <w:divBdr>
        <w:top w:val="none" w:sz="0" w:space="0" w:color="auto"/>
        <w:left w:val="none" w:sz="0" w:space="0" w:color="auto"/>
        <w:bottom w:val="none" w:sz="0" w:space="0" w:color="auto"/>
        <w:right w:val="none" w:sz="0" w:space="0" w:color="auto"/>
      </w:divBdr>
      <w:divsChild>
        <w:div w:id="1270359561">
          <w:marLeft w:val="0"/>
          <w:marRight w:val="0"/>
          <w:marTop w:val="0"/>
          <w:marBottom w:val="0"/>
          <w:divBdr>
            <w:top w:val="none" w:sz="0" w:space="0" w:color="auto"/>
            <w:left w:val="none" w:sz="0" w:space="0" w:color="auto"/>
            <w:bottom w:val="none" w:sz="0" w:space="0" w:color="auto"/>
            <w:right w:val="none" w:sz="0" w:space="0" w:color="auto"/>
          </w:divBdr>
          <w:divsChild>
            <w:div w:id="2120296367">
              <w:marLeft w:val="0"/>
              <w:marRight w:val="0"/>
              <w:marTop w:val="0"/>
              <w:marBottom w:val="0"/>
              <w:divBdr>
                <w:top w:val="none" w:sz="0" w:space="0" w:color="auto"/>
                <w:left w:val="none" w:sz="0" w:space="0" w:color="auto"/>
                <w:bottom w:val="none" w:sz="0" w:space="0" w:color="auto"/>
                <w:right w:val="none" w:sz="0" w:space="0" w:color="auto"/>
              </w:divBdr>
            </w:div>
            <w:div w:id="2067483492">
              <w:marLeft w:val="0"/>
              <w:marRight w:val="0"/>
              <w:marTop w:val="0"/>
              <w:marBottom w:val="0"/>
              <w:divBdr>
                <w:top w:val="none" w:sz="0" w:space="0" w:color="auto"/>
                <w:left w:val="none" w:sz="0" w:space="0" w:color="auto"/>
                <w:bottom w:val="none" w:sz="0" w:space="0" w:color="auto"/>
                <w:right w:val="none" w:sz="0" w:space="0" w:color="auto"/>
              </w:divBdr>
            </w:div>
          </w:divsChild>
        </w:div>
        <w:div w:id="1294942528">
          <w:marLeft w:val="0"/>
          <w:marRight w:val="0"/>
          <w:marTop w:val="0"/>
          <w:marBottom w:val="0"/>
          <w:divBdr>
            <w:top w:val="none" w:sz="0" w:space="0" w:color="auto"/>
            <w:left w:val="none" w:sz="0" w:space="0" w:color="auto"/>
            <w:bottom w:val="none" w:sz="0" w:space="0" w:color="auto"/>
            <w:right w:val="none" w:sz="0" w:space="0" w:color="auto"/>
          </w:divBdr>
        </w:div>
        <w:div w:id="1223981368">
          <w:marLeft w:val="0"/>
          <w:marRight w:val="0"/>
          <w:marTop w:val="0"/>
          <w:marBottom w:val="0"/>
          <w:divBdr>
            <w:top w:val="none" w:sz="0" w:space="0" w:color="auto"/>
            <w:left w:val="none" w:sz="0" w:space="0" w:color="auto"/>
            <w:bottom w:val="none" w:sz="0" w:space="0" w:color="auto"/>
            <w:right w:val="none" w:sz="0" w:space="0" w:color="auto"/>
          </w:divBdr>
        </w:div>
      </w:divsChild>
    </w:div>
    <w:div w:id="20647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7739-7518-4E29-B3A3-0A67B643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1885</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Loreta</cp:lastModifiedBy>
  <cp:revision>3</cp:revision>
  <cp:lastPrinted>2024-05-06T07:05:00Z</cp:lastPrinted>
  <dcterms:created xsi:type="dcterms:W3CDTF">2025-01-08T12:03:00Z</dcterms:created>
  <dcterms:modified xsi:type="dcterms:W3CDTF">2025-01-08T12:05:00Z</dcterms:modified>
</cp:coreProperties>
</file>