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A0D" w:rsidRPr="001A07EA" w:rsidRDefault="00DE7A0D" w:rsidP="00DE7A0D">
      <w:pPr>
        <w:ind w:left="5040"/>
        <w:jc w:val="both"/>
        <w:rPr>
          <w:bCs/>
          <w:lang w:val="lt-LT"/>
        </w:rPr>
      </w:pPr>
      <w:bookmarkStart w:id="0" w:name="_GoBack"/>
      <w:bookmarkEnd w:id="0"/>
      <w:r w:rsidRPr="001A07EA">
        <w:rPr>
          <w:bCs/>
          <w:lang w:val="lt-LT"/>
        </w:rPr>
        <w:t>Anykščių  rajono savivaldybės  projektų, įgyvendinamų pagal Anykščių rajono savivaldybės strateginio 2019–2021 metų veiklos plano priemonę Nr. 3.1.1.03 finansavimo tvarkos aprašo  2 priedas</w:t>
      </w:r>
    </w:p>
    <w:p w:rsidR="00DE7A0D" w:rsidRPr="009D3297" w:rsidRDefault="00DE7A0D" w:rsidP="00DE7A0D">
      <w:pPr>
        <w:rPr>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8310"/>
      </w:tblGrid>
      <w:tr w:rsidR="00DE7A0D" w:rsidRPr="00DF031C" w:rsidTr="00F44886">
        <w:trPr>
          <w:trHeight w:val="638"/>
        </w:trPr>
        <w:tc>
          <w:tcPr>
            <w:tcW w:w="829" w:type="pct"/>
          </w:tcPr>
          <w:p w:rsidR="00DE7A0D" w:rsidRPr="009D3297" w:rsidRDefault="00DE7A0D" w:rsidP="00F44886">
            <w:pPr>
              <w:rPr>
                <w:b/>
                <w:sz w:val="24"/>
                <w:szCs w:val="24"/>
                <w:lang w:val="lt-LT"/>
              </w:rPr>
            </w:pPr>
            <w:r w:rsidRPr="009D3297">
              <w:rPr>
                <w:b/>
                <w:sz w:val="24"/>
                <w:szCs w:val="24"/>
                <w:lang w:val="lt-LT"/>
              </w:rPr>
              <w:t>Priemonės pavadinimas</w:t>
            </w:r>
          </w:p>
        </w:tc>
        <w:tc>
          <w:tcPr>
            <w:tcW w:w="4171" w:type="pct"/>
            <w:shd w:val="clear" w:color="auto" w:fill="auto"/>
          </w:tcPr>
          <w:p w:rsidR="00DE7A0D" w:rsidRPr="009D3297" w:rsidRDefault="00DE7A0D" w:rsidP="00F44886">
            <w:pPr>
              <w:spacing w:before="60" w:after="60"/>
              <w:rPr>
                <w:b/>
                <w:sz w:val="24"/>
                <w:szCs w:val="24"/>
                <w:lang w:val="lt-LT"/>
              </w:rPr>
            </w:pPr>
            <w:r w:rsidRPr="009D3297">
              <w:rPr>
                <w:sz w:val="24"/>
                <w:szCs w:val="24"/>
                <w:lang w:val="lt-LT"/>
              </w:rPr>
              <w:t>3.1.1.03  priemonė „Kaimo verslo ir investicijų veikla“ (toliau – Priemonė)</w:t>
            </w:r>
          </w:p>
        </w:tc>
      </w:tr>
      <w:tr w:rsidR="00DE7A0D" w:rsidRPr="00DF031C" w:rsidTr="00F44886">
        <w:trPr>
          <w:trHeight w:val="1535"/>
        </w:trPr>
        <w:tc>
          <w:tcPr>
            <w:tcW w:w="829" w:type="pct"/>
          </w:tcPr>
          <w:p w:rsidR="00DE7A0D" w:rsidRPr="009D3297" w:rsidRDefault="00DE7A0D" w:rsidP="00F44886">
            <w:pPr>
              <w:rPr>
                <w:b/>
                <w:sz w:val="24"/>
                <w:szCs w:val="24"/>
                <w:lang w:val="lt-LT"/>
              </w:rPr>
            </w:pPr>
            <w:r w:rsidRPr="009D3297">
              <w:rPr>
                <w:b/>
                <w:sz w:val="24"/>
                <w:szCs w:val="24"/>
                <w:lang w:val="lt-LT"/>
              </w:rPr>
              <w:t xml:space="preserve">Tinkamumo kriterijai pareiškėjams </w:t>
            </w:r>
          </w:p>
        </w:tc>
        <w:tc>
          <w:tcPr>
            <w:tcW w:w="4171" w:type="pct"/>
            <w:shd w:val="clear" w:color="auto" w:fill="auto"/>
          </w:tcPr>
          <w:p w:rsidR="00DE7A0D" w:rsidRPr="009D3297" w:rsidRDefault="00DE7A0D" w:rsidP="00F44886">
            <w:pPr>
              <w:jc w:val="both"/>
              <w:rPr>
                <w:sz w:val="24"/>
                <w:szCs w:val="24"/>
                <w:lang w:val="lt-LT"/>
              </w:rPr>
            </w:pPr>
            <w:r w:rsidRPr="009D3297">
              <w:rPr>
                <w:sz w:val="24"/>
                <w:szCs w:val="24"/>
                <w:lang w:val="lt-LT"/>
              </w:rPr>
              <w:t xml:space="preserve">1. Pareiškėjai – žemės ūkio produkcijos gamybos-perdirbimo veikla besiverčiantys Anykščių rajono gyventojai, ūkio subjektai, vykdantys veiklą Anykščių rajono savivaldybės teritorijoje ir registruoti Lietuvos Respublikos teisės aktų nustatyta tvarka Anykščių rajono savivaldybėje, kurių ūkio ekonominis dydis, išreikštas produkcijos standartine verte, yra ne mažesnis kaip  4 000 Eur ir ne didesnis kaip 15 000 Eur. </w:t>
            </w:r>
          </w:p>
          <w:p w:rsidR="00DE7A0D" w:rsidRPr="009D3297" w:rsidRDefault="00DE7A0D" w:rsidP="00F44886">
            <w:pPr>
              <w:rPr>
                <w:sz w:val="24"/>
                <w:szCs w:val="24"/>
                <w:lang w:val="lt-LT"/>
              </w:rPr>
            </w:pPr>
            <w:r w:rsidRPr="009D3297">
              <w:rPr>
                <w:sz w:val="24"/>
                <w:szCs w:val="24"/>
                <w:lang w:val="lt-LT"/>
              </w:rPr>
              <w:t>2. Pagal Priemonę vienas pareiškėjas gali teikti tik vieną paraišką</w:t>
            </w:r>
          </w:p>
        </w:tc>
      </w:tr>
      <w:tr w:rsidR="00DE7A0D" w:rsidRPr="00DF031C" w:rsidTr="00F44886">
        <w:trPr>
          <w:trHeight w:val="936"/>
        </w:trPr>
        <w:tc>
          <w:tcPr>
            <w:tcW w:w="829" w:type="pct"/>
          </w:tcPr>
          <w:p w:rsidR="00DE7A0D" w:rsidRPr="009D3297" w:rsidRDefault="00DE7A0D" w:rsidP="00F44886">
            <w:pPr>
              <w:rPr>
                <w:b/>
                <w:sz w:val="24"/>
                <w:szCs w:val="24"/>
                <w:lang w:val="lt-LT"/>
              </w:rPr>
            </w:pPr>
            <w:r w:rsidRPr="009D3297">
              <w:rPr>
                <w:b/>
                <w:sz w:val="24"/>
                <w:szCs w:val="24"/>
                <w:lang w:val="lt-LT"/>
              </w:rPr>
              <w:t xml:space="preserve">Tinkamumo kriterijai </w:t>
            </w:r>
          </w:p>
          <w:p w:rsidR="00DE7A0D" w:rsidRPr="009D3297" w:rsidRDefault="00DE7A0D" w:rsidP="00F44886">
            <w:pPr>
              <w:rPr>
                <w:b/>
                <w:sz w:val="24"/>
                <w:szCs w:val="24"/>
                <w:lang w:val="lt-LT"/>
              </w:rPr>
            </w:pPr>
            <w:r w:rsidRPr="009D3297">
              <w:rPr>
                <w:b/>
                <w:sz w:val="24"/>
                <w:szCs w:val="24"/>
                <w:lang w:val="lt-LT"/>
              </w:rPr>
              <w:t>projektams</w:t>
            </w:r>
          </w:p>
        </w:tc>
        <w:tc>
          <w:tcPr>
            <w:tcW w:w="4171" w:type="pct"/>
            <w:shd w:val="clear" w:color="auto" w:fill="auto"/>
          </w:tcPr>
          <w:p w:rsidR="00DE7A0D" w:rsidRPr="009D3297" w:rsidRDefault="00DE7A0D" w:rsidP="00F44886">
            <w:pPr>
              <w:jc w:val="both"/>
              <w:rPr>
                <w:sz w:val="24"/>
                <w:szCs w:val="24"/>
                <w:shd w:val="clear" w:color="auto" w:fill="FFFFFF"/>
                <w:lang w:val="lt-LT"/>
              </w:rPr>
            </w:pPr>
            <w:r w:rsidRPr="009D3297">
              <w:rPr>
                <w:sz w:val="24"/>
                <w:szCs w:val="24"/>
                <w:shd w:val="clear" w:color="auto" w:fill="FFFFFF"/>
                <w:lang w:val="lt-LT"/>
              </w:rPr>
              <w:t>3. Pareiškėjo teikiamas projektas turi atitikti pagrindinį tikslą: siekti, kad Anykščių rajone užauginta žemės ūkio produkcija būtų perdirbama vietoje, ir skatinti smulkių ūkių vystymąsi</w:t>
            </w:r>
          </w:p>
          <w:p w:rsidR="00DE7A0D" w:rsidRPr="009D3297" w:rsidRDefault="00DE7A0D" w:rsidP="00F44886">
            <w:pPr>
              <w:jc w:val="both"/>
              <w:rPr>
                <w:sz w:val="24"/>
                <w:szCs w:val="24"/>
                <w:shd w:val="clear" w:color="auto" w:fill="FFFFFF"/>
                <w:lang w:val="lt-LT"/>
              </w:rPr>
            </w:pPr>
          </w:p>
        </w:tc>
      </w:tr>
      <w:tr w:rsidR="00DE7A0D" w:rsidRPr="00DF031C" w:rsidTr="00F44886">
        <w:trPr>
          <w:trHeight w:val="2014"/>
        </w:trPr>
        <w:tc>
          <w:tcPr>
            <w:tcW w:w="829" w:type="pct"/>
            <w:tcBorders>
              <w:bottom w:val="single" w:sz="4" w:space="0" w:color="auto"/>
            </w:tcBorders>
          </w:tcPr>
          <w:p w:rsidR="00DE7A0D" w:rsidRPr="009D3297" w:rsidRDefault="00DE7A0D" w:rsidP="00F44886">
            <w:pPr>
              <w:rPr>
                <w:b/>
                <w:sz w:val="24"/>
                <w:szCs w:val="24"/>
                <w:lang w:val="lt-LT"/>
              </w:rPr>
            </w:pPr>
            <w:r w:rsidRPr="009D3297">
              <w:rPr>
                <w:b/>
                <w:sz w:val="24"/>
                <w:szCs w:val="24"/>
                <w:lang w:val="lt-LT"/>
              </w:rPr>
              <w:t>Tinkamos finansuoti išlaidos</w:t>
            </w:r>
          </w:p>
        </w:tc>
        <w:tc>
          <w:tcPr>
            <w:tcW w:w="4171" w:type="pct"/>
            <w:tcBorders>
              <w:bottom w:val="single" w:sz="4" w:space="0" w:color="auto"/>
            </w:tcBorders>
            <w:shd w:val="clear" w:color="auto" w:fill="auto"/>
          </w:tcPr>
          <w:p w:rsidR="00DE7A0D" w:rsidRPr="009D3297" w:rsidRDefault="00DE7A0D" w:rsidP="00F44886">
            <w:pPr>
              <w:overflowPunct w:val="0"/>
              <w:autoSpaceDE w:val="0"/>
              <w:autoSpaceDN w:val="0"/>
              <w:adjustRightInd w:val="0"/>
              <w:ind w:left="18"/>
              <w:jc w:val="both"/>
              <w:rPr>
                <w:bCs/>
                <w:sz w:val="24"/>
                <w:lang w:val="lt-LT"/>
              </w:rPr>
            </w:pPr>
            <w:r w:rsidRPr="009D3297">
              <w:rPr>
                <w:bCs/>
                <w:sz w:val="24"/>
                <w:lang w:val="lt-LT"/>
              </w:rPr>
              <w:t>4. Tinkamomis finansuoti iš Priemonės lėšų pripažįstamos tik detaliai pagrįstos, su projekte numatomų veiklų vykdymu susijusios, patiriamos projekto įgyvendinimo metu, šios išlaidos:</w:t>
            </w:r>
          </w:p>
          <w:p w:rsidR="00DE7A0D" w:rsidRPr="009D3297" w:rsidRDefault="00DE7A0D" w:rsidP="00F44886">
            <w:pPr>
              <w:overflowPunct w:val="0"/>
              <w:autoSpaceDE w:val="0"/>
              <w:autoSpaceDN w:val="0"/>
              <w:adjustRightInd w:val="0"/>
              <w:jc w:val="both"/>
              <w:rPr>
                <w:sz w:val="24"/>
                <w:szCs w:val="24"/>
                <w:lang w:val="lt-LT"/>
              </w:rPr>
            </w:pPr>
            <w:r w:rsidRPr="009D3297">
              <w:rPr>
                <w:sz w:val="24"/>
                <w:szCs w:val="24"/>
                <w:lang w:val="lt-LT"/>
              </w:rPr>
              <w:t>4</w:t>
            </w:r>
            <w:r>
              <w:rPr>
                <w:sz w:val="24"/>
                <w:szCs w:val="24"/>
                <w:lang w:val="lt-LT"/>
              </w:rPr>
              <w:t>.</w:t>
            </w:r>
            <w:r w:rsidRPr="009D3297">
              <w:rPr>
                <w:sz w:val="24"/>
                <w:szCs w:val="24"/>
                <w:lang w:val="lt-LT"/>
              </w:rPr>
              <w:t xml:space="preserve">1. įgyvendinti projektą būtinų prekių pirkimas, dengiant iki 75 procentų </w:t>
            </w:r>
            <w:r>
              <w:rPr>
                <w:sz w:val="24"/>
                <w:szCs w:val="24"/>
                <w:lang w:val="lt-LT"/>
              </w:rPr>
              <w:t>jų</w:t>
            </w:r>
            <w:r w:rsidRPr="009D3297">
              <w:rPr>
                <w:sz w:val="24"/>
                <w:szCs w:val="24"/>
                <w:lang w:val="lt-LT"/>
              </w:rPr>
              <w:t xml:space="preserve"> vertės, bet ne daugiau  3 000 Eur vienam projektui;</w:t>
            </w:r>
          </w:p>
          <w:p w:rsidR="00DE7A0D" w:rsidRPr="009D3297" w:rsidRDefault="00DE7A0D" w:rsidP="00F44886">
            <w:pPr>
              <w:overflowPunct w:val="0"/>
              <w:autoSpaceDE w:val="0"/>
              <w:autoSpaceDN w:val="0"/>
              <w:adjustRightInd w:val="0"/>
              <w:jc w:val="both"/>
              <w:rPr>
                <w:sz w:val="24"/>
                <w:szCs w:val="24"/>
                <w:lang w:val="lt-LT"/>
              </w:rPr>
            </w:pPr>
            <w:r w:rsidRPr="009D3297">
              <w:rPr>
                <w:sz w:val="24"/>
                <w:szCs w:val="24"/>
                <w:lang w:val="lt-LT"/>
              </w:rPr>
              <w:t>4.2. naudotų prekių įsigijimo išlaidos;</w:t>
            </w:r>
          </w:p>
          <w:p w:rsidR="00DE7A0D" w:rsidRPr="009D3297" w:rsidRDefault="00DE7A0D" w:rsidP="00F44886">
            <w:pPr>
              <w:overflowPunct w:val="0"/>
              <w:autoSpaceDE w:val="0"/>
              <w:autoSpaceDN w:val="0"/>
              <w:adjustRightInd w:val="0"/>
              <w:jc w:val="both"/>
              <w:rPr>
                <w:sz w:val="24"/>
                <w:szCs w:val="24"/>
                <w:lang w:val="lt-LT"/>
              </w:rPr>
            </w:pPr>
            <w:r w:rsidRPr="009D3297">
              <w:rPr>
                <w:sz w:val="24"/>
                <w:szCs w:val="24"/>
                <w:lang w:val="lt-LT"/>
              </w:rPr>
              <w:t>5. Visi mokėjimai turi būti atliekami tik per finansines institucijas</w:t>
            </w:r>
          </w:p>
        </w:tc>
      </w:tr>
      <w:tr w:rsidR="00DE7A0D" w:rsidRPr="00DF031C" w:rsidTr="00F44886">
        <w:trPr>
          <w:trHeight w:val="409"/>
        </w:trPr>
        <w:tc>
          <w:tcPr>
            <w:tcW w:w="829" w:type="pct"/>
            <w:tcBorders>
              <w:bottom w:val="single" w:sz="4" w:space="0" w:color="auto"/>
            </w:tcBorders>
          </w:tcPr>
          <w:p w:rsidR="00DE7A0D" w:rsidRPr="009D3297" w:rsidRDefault="00DE7A0D" w:rsidP="00F44886">
            <w:pPr>
              <w:rPr>
                <w:b/>
                <w:sz w:val="24"/>
                <w:szCs w:val="24"/>
                <w:lang w:val="lt-LT"/>
              </w:rPr>
            </w:pPr>
            <w:r w:rsidRPr="009D3297">
              <w:rPr>
                <w:b/>
                <w:sz w:val="24"/>
                <w:szCs w:val="24"/>
                <w:lang w:val="lt-LT"/>
              </w:rPr>
              <w:t>Netinkamos finansuoti išlaidos</w:t>
            </w:r>
          </w:p>
        </w:tc>
        <w:tc>
          <w:tcPr>
            <w:tcW w:w="4171" w:type="pct"/>
            <w:tcBorders>
              <w:bottom w:val="single" w:sz="4" w:space="0" w:color="auto"/>
            </w:tcBorders>
            <w:shd w:val="clear" w:color="auto" w:fill="auto"/>
          </w:tcPr>
          <w:p w:rsidR="00DE7A0D" w:rsidRPr="009D3297" w:rsidRDefault="00DE7A0D" w:rsidP="00F44886">
            <w:pPr>
              <w:tabs>
                <w:tab w:val="left" w:pos="851"/>
                <w:tab w:val="left" w:pos="2694"/>
                <w:tab w:val="left" w:pos="3969"/>
              </w:tabs>
              <w:overflowPunct w:val="0"/>
              <w:autoSpaceDE w:val="0"/>
              <w:autoSpaceDN w:val="0"/>
              <w:adjustRightInd w:val="0"/>
              <w:jc w:val="both"/>
              <w:rPr>
                <w:sz w:val="24"/>
                <w:szCs w:val="24"/>
                <w:lang w:val="lt-LT"/>
              </w:rPr>
            </w:pPr>
            <w:r w:rsidRPr="009D3297">
              <w:rPr>
                <w:sz w:val="24"/>
                <w:szCs w:val="24"/>
                <w:lang w:val="lt-LT"/>
              </w:rPr>
              <w:t>6. Nefinansuojamos išlaidos:</w:t>
            </w:r>
          </w:p>
          <w:p w:rsidR="00DE7A0D" w:rsidRPr="009D3297" w:rsidRDefault="00DE7A0D" w:rsidP="00F44886">
            <w:pPr>
              <w:overflowPunct w:val="0"/>
              <w:autoSpaceDE w:val="0"/>
              <w:autoSpaceDN w:val="0"/>
              <w:adjustRightInd w:val="0"/>
              <w:jc w:val="both"/>
              <w:rPr>
                <w:sz w:val="24"/>
                <w:szCs w:val="24"/>
                <w:lang w:val="lt-LT"/>
              </w:rPr>
            </w:pPr>
            <w:r w:rsidRPr="009D3297">
              <w:rPr>
                <w:sz w:val="24"/>
                <w:szCs w:val="24"/>
                <w:lang w:val="lt-LT"/>
              </w:rPr>
              <w:t>6.1. pastatų įsigijimo, nuomos ar jų remonto, rekonstrukcijos  išlaidos;</w:t>
            </w:r>
          </w:p>
          <w:p w:rsidR="00DE7A0D" w:rsidRPr="009D3297" w:rsidRDefault="00DE7A0D" w:rsidP="00F44886">
            <w:pPr>
              <w:tabs>
                <w:tab w:val="left" w:pos="851"/>
              </w:tabs>
              <w:overflowPunct w:val="0"/>
              <w:autoSpaceDE w:val="0"/>
              <w:autoSpaceDN w:val="0"/>
              <w:adjustRightInd w:val="0"/>
              <w:jc w:val="both"/>
              <w:rPr>
                <w:sz w:val="24"/>
                <w:szCs w:val="24"/>
                <w:lang w:val="lt-LT"/>
              </w:rPr>
            </w:pPr>
            <w:r w:rsidRPr="009D3297">
              <w:rPr>
                <w:sz w:val="24"/>
                <w:szCs w:val="24"/>
                <w:lang w:val="lt-LT"/>
              </w:rPr>
              <w:t>6.2. kreditų įstaigų išduotų paskolų dengimas;</w:t>
            </w:r>
          </w:p>
          <w:p w:rsidR="00DE7A0D" w:rsidRPr="009D3297" w:rsidRDefault="00DE7A0D" w:rsidP="00F44886">
            <w:pPr>
              <w:tabs>
                <w:tab w:val="left" w:pos="851"/>
              </w:tabs>
              <w:overflowPunct w:val="0"/>
              <w:autoSpaceDE w:val="0"/>
              <w:autoSpaceDN w:val="0"/>
              <w:adjustRightInd w:val="0"/>
              <w:jc w:val="both"/>
              <w:rPr>
                <w:sz w:val="24"/>
                <w:szCs w:val="24"/>
                <w:lang w:val="lt-LT"/>
              </w:rPr>
            </w:pPr>
            <w:r w:rsidRPr="009D3297">
              <w:rPr>
                <w:sz w:val="24"/>
                <w:szCs w:val="24"/>
                <w:lang w:val="lt-LT"/>
              </w:rPr>
              <w:t>6.3. iš kitų finansavimo šaltinių pagal kitas pareiškėjo paraiškas, t. y. tos pačios išlaidos finansuojamos du ar daugiau kartų;</w:t>
            </w:r>
          </w:p>
          <w:p w:rsidR="00DE7A0D" w:rsidRPr="009D3297" w:rsidRDefault="00DE7A0D" w:rsidP="00F44886">
            <w:pPr>
              <w:tabs>
                <w:tab w:val="left" w:pos="851"/>
              </w:tabs>
              <w:overflowPunct w:val="0"/>
              <w:autoSpaceDE w:val="0"/>
              <w:autoSpaceDN w:val="0"/>
              <w:adjustRightInd w:val="0"/>
              <w:jc w:val="both"/>
              <w:rPr>
                <w:sz w:val="24"/>
                <w:szCs w:val="24"/>
                <w:lang w:val="lt-LT"/>
              </w:rPr>
            </w:pPr>
            <w:r w:rsidRPr="009D3297">
              <w:rPr>
                <w:sz w:val="24"/>
                <w:szCs w:val="24"/>
                <w:lang w:val="lt-LT"/>
              </w:rPr>
              <w:t>6.4. įgyvendinti projektą būtinų org. technikos, programinės įrangos įsigijimo išlaidos;</w:t>
            </w:r>
          </w:p>
          <w:p w:rsidR="00DE7A0D" w:rsidRPr="009D3297" w:rsidRDefault="00DE7A0D" w:rsidP="00F44886">
            <w:pPr>
              <w:overflowPunct w:val="0"/>
              <w:autoSpaceDE w:val="0"/>
              <w:autoSpaceDN w:val="0"/>
              <w:adjustRightInd w:val="0"/>
              <w:jc w:val="both"/>
              <w:rPr>
                <w:sz w:val="24"/>
                <w:szCs w:val="24"/>
                <w:lang w:val="lt-LT"/>
              </w:rPr>
            </w:pPr>
            <w:r w:rsidRPr="009D3297">
              <w:rPr>
                <w:sz w:val="24"/>
                <w:szCs w:val="24"/>
                <w:lang w:val="lt-LT"/>
              </w:rPr>
              <w:t>6.5. draudimo išlaidos;</w:t>
            </w:r>
          </w:p>
          <w:p w:rsidR="00DE7A0D" w:rsidRPr="009D3297" w:rsidRDefault="00DE7A0D" w:rsidP="00F44886">
            <w:pPr>
              <w:overflowPunct w:val="0"/>
              <w:autoSpaceDE w:val="0"/>
              <w:autoSpaceDN w:val="0"/>
              <w:adjustRightInd w:val="0"/>
              <w:ind w:left="18"/>
              <w:jc w:val="both"/>
              <w:rPr>
                <w:bCs/>
                <w:sz w:val="24"/>
                <w:lang w:val="lt-LT"/>
              </w:rPr>
            </w:pPr>
            <w:r w:rsidRPr="009D3297">
              <w:rPr>
                <w:sz w:val="24"/>
                <w:lang w:val="lt-LT"/>
              </w:rPr>
              <w:t>6.6. kitos išlaidos, nesusijusios su įgyvendinti projektą būtinomis išlaidomis</w:t>
            </w:r>
          </w:p>
        </w:tc>
      </w:tr>
      <w:tr w:rsidR="00DE7A0D" w:rsidRPr="00DF031C" w:rsidTr="00F44886">
        <w:trPr>
          <w:trHeight w:val="1739"/>
        </w:trPr>
        <w:tc>
          <w:tcPr>
            <w:tcW w:w="829" w:type="pct"/>
          </w:tcPr>
          <w:p w:rsidR="00DE7A0D" w:rsidRPr="009D3297" w:rsidRDefault="00DE7A0D" w:rsidP="00F44886">
            <w:pPr>
              <w:rPr>
                <w:b/>
                <w:sz w:val="24"/>
                <w:szCs w:val="24"/>
                <w:lang w:val="lt-LT"/>
              </w:rPr>
            </w:pPr>
            <w:r w:rsidRPr="009D3297">
              <w:rPr>
                <w:b/>
                <w:sz w:val="24"/>
                <w:szCs w:val="24"/>
                <w:lang w:val="lt-LT"/>
              </w:rPr>
              <w:t>Prie paraiškos pridedami dokumentai</w:t>
            </w:r>
          </w:p>
        </w:tc>
        <w:tc>
          <w:tcPr>
            <w:tcW w:w="4171" w:type="pct"/>
            <w:shd w:val="clear" w:color="auto" w:fill="auto"/>
          </w:tcPr>
          <w:p w:rsidR="00DE7A0D" w:rsidRPr="009D3297" w:rsidRDefault="00DE7A0D" w:rsidP="00F44886">
            <w:pPr>
              <w:jc w:val="both"/>
              <w:rPr>
                <w:sz w:val="24"/>
                <w:szCs w:val="24"/>
                <w:lang w:val="lt-LT"/>
              </w:rPr>
            </w:pPr>
            <w:r w:rsidRPr="009D3297">
              <w:rPr>
                <w:sz w:val="24"/>
                <w:szCs w:val="24"/>
                <w:lang w:val="lt-LT"/>
              </w:rPr>
              <w:t>7.</w:t>
            </w:r>
            <w:r w:rsidRPr="009D3297">
              <w:rPr>
                <w:snapToGrid w:val="0"/>
                <w:sz w:val="24"/>
                <w:szCs w:val="24"/>
                <w:lang w:val="lt-LT"/>
              </w:rPr>
              <w:t xml:space="preserve"> Bendradarbiavimo sutarties kopija, jei projektas vykdomas su partneriais.</w:t>
            </w:r>
          </w:p>
          <w:p w:rsidR="00DE7A0D" w:rsidRPr="009D3297" w:rsidRDefault="00DE7A0D" w:rsidP="00F44886">
            <w:pPr>
              <w:jc w:val="both"/>
              <w:rPr>
                <w:snapToGrid w:val="0"/>
                <w:sz w:val="24"/>
                <w:szCs w:val="24"/>
                <w:lang w:val="lt-LT"/>
              </w:rPr>
            </w:pPr>
            <w:r w:rsidRPr="009D3297">
              <w:rPr>
                <w:sz w:val="24"/>
                <w:szCs w:val="24"/>
                <w:lang w:val="lt-LT"/>
              </w:rPr>
              <w:t xml:space="preserve">8. </w:t>
            </w:r>
            <w:r w:rsidRPr="009D3297">
              <w:rPr>
                <w:snapToGrid w:val="0"/>
                <w:sz w:val="24"/>
                <w:szCs w:val="24"/>
                <w:lang w:val="lt-LT"/>
              </w:rPr>
              <w:t>Patvirtinta dokumento kopija, įrodanti projekto papildomą finansavimą (jei yra papildomas finansavimas).</w:t>
            </w:r>
          </w:p>
          <w:p w:rsidR="00DE7A0D" w:rsidRPr="009D3297" w:rsidRDefault="00DE7A0D" w:rsidP="00F44886">
            <w:pPr>
              <w:jc w:val="both"/>
              <w:rPr>
                <w:sz w:val="24"/>
                <w:szCs w:val="24"/>
                <w:lang w:val="lt-LT"/>
              </w:rPr>
            </w:pPr>
            <w:r w:rsidRPr="009D3297">
              <w:rPr>
                <w:snapToGrid w:val="0"/>
                <w:sz w:val="24"/>
                <w:szCs w:val="24"/>
                <w:lang w:val="lt-LT"/>
              </w:rPr>
              <w:t xml:space="preserve">9. </w:t>
            </w:r>
            <w:r w:rsidRPr="009D3297">
              <w:rPr>
                <w:sz w:val="24"/>
                <w:szCs w:val="24"/>
                <w:lang w:val="lt-LT"/>
              </w:rPr>
              <w:t>Pareiškėjui rekomenduojama pridėti papildomą, su paraiška susijusią medžiagą, kurią paraiškos teikėjas mano esant reikalinga pateikti</w:t>
            </w:r>
          </w:p>
        </w:tc>
      </w:tr>
    </w:tbl>
    <w:p w:rsidR="00DE7A0D" w:rsidRPr="009D3297" w:rsidRDefault="00DE7A0D" w:rsidP="00DE7A0D">
      <w:pPr>
        <w:jc w:val="center"/>
        <w:rPr>
          <w:bCs/>
          <w:lang w:val="lt-LT"/>
        </w:rPr>
      </w:pPr>
      <w:r w:rsidRPr="009D3297">
        <w:rPr>
          <w:sz w:val="23"/>
          <w:szCs w:val="23"/>
          <w:lang w:val="lt-LT"/>
        </w:rPr>
        <w:t>________________________</w:t>
      </w:r>
    </w:p>
    <w:p w:rsidR="00DE7A0D" w:rsidRPr="009D3297" w:rsidRDefault="00DE7A0D" w:rsidP="00DE7A0D">
      <w:pPr>
        <w:ind w:left="5040"/>
        <w:jc w:val="both"/>
        <w:rPr>
          <w:bCs/>
          <w:lang w:val="lt-LT"/>
        </w:rPr>
      </w:pPr>
    </w:p>
    <w:p w:rsidR="002C5295" w:rsidRDefault="002C5295"/>
    <w:sectPr w:rsidR="002C5295" w:rsidSect="00CE305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0D"/>
    <w:rsid w:val="002C5295"/>
    <w:rsid w:val="002E3678"/>
    <w:rsid w:val="00CE3056"/>
    <w:rsid w:val="00DE7A0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F7F19-CC81-408A-8639-F8A9AD4F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A0D"/>
    <w:pPr>
      <w:spacing w:after="0" w:line="240" w:lineRule="auto"/>
    </w:pPr>
    <w:rPr>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1511</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dc:creator>
  <cp:keywords/>
  <dc:description/>
  <cp:lastModifiedBy>Laima</cp:lastModifiedBy>
  <cp:revision>2</cp:revision>
  <dcterms:created xsi:type="dcterms:W3CDTF">2019-06-17T06:55:00Z</dcterms:created>
  <dcterms:modified xsi:type="dcterms:W3CDTF">2019-06-17T06:55:00Z</dcterms:modified>
</cp:coreProperties>
</file>