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75B" w:rsidRDefault="0059775B" w:rsidP="0059775B">
      <w:pPr>
        <w:spacing w:after="0" w:line="240" w:lineRule="auto"/>
        <w:ind w:left="1440"/>
        <w:jc w:val="right"/>
        <w:rPr>
          <w:rFonts w:ascii="Times New Roman" w:hAnsi="Times New Roman"/>
          <w:sz w:val="24"/>
          <w:szCs w:val="24"/>
        </w:rPr>
      </w:pPr>
      <w:r>
        <w:rPr>
          <w:rFonts w:ascii="Times New Roman" w:hAnsi="Times New Roman"/>
          <w:sz w:val="24"/>
          <w:szCs w:val="24"/>
        </w:rPr>
        <w:t>PATVIRTINTA</w:t>
      </w:r>
    </w:p>
    <w:p w:rsidR="0059775B" w:rsidRDefault="0059775B" w:rsidP="0059775B">
      <w:pPr>
        <w:spacing w:after="0" w:line="240" w:lineRule="auto"/>
        <w:ind w:left="1440"/>
        <w:jc w:val="right"/>
        <w:rPr>
          <w:rFonts w:ascii="Times New Roman" w:hAnsi="Times New Roman"/>
          <w:sz w:val="24"/>
          <w:szCs w:val="24"/>
        </w:rPr>
      </w:pPr>
      <w:r>
        <w:rPr>
          <w:rFonts w:ascii="Times New Roman" w:hAnsi="Times New Roman"/>
          <w:sz w:val="24"/>
          <w:szCs w:val="24"/>
        </w:rPr>
        <w:t>Anykščių rajono  savivaldybės tarybos</w:t>
      </w:r>
    </w:p>
    <w:p w:rsidR="0059775B" w:rsidRDefault="0059775B" w:rsidP="0059775B">
      <w:pPr>
        <w:spacing w:after="0" w:line="240" w:lineRule="auto"/>
        <w:jc w:val="right"/>
        <w:rPr>
          <w:rFonts w:ascii="Times New Roman" w:hAnsi="Times New Roman"/>
          <w:sz w:val="24"/>
          <w:szCs w:val="24"/>
        </w:rPr>
      </w:pPr>
      <w:r>
        <w:rPr>
          <w:rFonts w:ascii="Times New Roman" w:hAnsi="Times New Roman"/>
          <w:sz w:val="24"/>
          <w:szCs w:val="24"/>
        </w:rPr>
        <w:t xml:space="preserve">                                                                                                                 2017 m. sausio 26 d.</w:t>
      </w:r>
    </w:p>
    <w:p w:rsidR="0059775B" w:rsidRDefault="0059775B" w:rsidP="0059775B">
      <w:pPr>
        <w:spacing w:after="0" w:line="240" w:lineRule="auto"/>
        <w:jc w:val="right"/>
        <w:rPr>
          <w:rFonts w:ascii="Times New Roman" w:hAnsi="Times New Roman"/>
          <w:sz w:val="24"/>
          <w:szCs w:val="24"/>
        </w:rPr>
      </w:pPr>
      <w:r>
        <w:rPr>
          <w:rFonts w:ascii="Times New Roman" w:hAnsi="Times New Roman"/>
          <w:sz w:val="24"/>
          <w:szCs w:val="24"/>
        </w:rPr>
        <w:t xml:space="preserve">                                                                                    sprendimu Nr. 1-TS-14              </w:t>
      </w:r>
    </w:p>
    <w:p w:rsidR="0059775B" w:rsidRDefault="0059775B" w:rsidP="0059775B">
      <w:pPr>
        <w:spacing w:after="0" w:line="240" w:lineRule="auto"/>
        <w:jc w:val="right"/>
        <w:rPr>
          <w:rFonts w:ascii="Times New Roman" w:hAnsi="Times New Roman"/>
          <w:b/>
          <w:sz w:val="24"/>
          <w:szCs w:val="24"/>
        </w:rPr>
      </w:pPr>
    </w:p>
    <w:p w:rsidR="0059775B" w:rsidRDefault="0059775B" w:rsidP="0059775B">
      <w:pPr>
        <w:widowControl w:val="0"/>
        <w:tabs>
          <w:tab w:val="left" w:pos="1293"/>
        </w:tabs>
        <w:overflowPunct w:val="0"/>
        <w:autoSpaceDE w:val="0"/>
        <w:autoSpaceDN w:val="0"/>
        <w:adjustRightInd w:val="0"/>
        <w:spacing w:after="0" w:line="240" w:lineRule="auto"/>
        <w:jc w:val="center"/>
        <w:textAlignment w:val="baseline"/>
        <w:rPr>
          <w:rFonts w:ascii="Times New Roman" w:hAnsi="Times New Roman"/>
          <w:b/>
          <w:sz w:val="24"/>
          <w:szCs w:val="24"/>
        </w:rPr>
      </w:pPr>
      <w:r>
        <w:rPr>
          <w:rFonts w:ascii="Times New Roman" w:hAnsi="Times New Roman"/>
          <w:b/>
          <w:sz w:val="24"/>
          <w:szCs w:val="20"/>
        </w:rPr>
        <w:t xml:space="preserve">ANYKŠČIŲ RAJONO SAVIVALDYBĖS  STRATEGINIO 2017–2019 METŲ VEIKLOS PLANO  </w:t>
      </w:r>
      <w:r>
        <w:rPr>
          <w:rFonts w:ascii="Times New Roman" w:hAnsi="Times New Roman"/>
          <w:b/>
          <w:sz w:val="24"/>
          <w:szCs w:val="24"/>
        </w:rPr>
        <w:t>5 PROGRAMOS „PALANKIOS SOCIALINĖS APLINKOS KŪRIMAS“ 5.1.3.02 PRIEMONĖS „NEĮGALIŲJŲ SOCIALINĖS INTEGRACIJOS PROJEKTŲ ĮGYVENDINIMAS“ APRAŠAS</w:t>
      </w:r>
    </w:p>
    <w:p w:rsidR="0059775B" w:rsidRDefault="0059775B" w:rsidP="0059775B">
      <w:pPr>
        <w:widowControl w:val="0"/>
        <w:tabs>
          <w:tab w:val="left" w:pos="1293"/>
        </w:tabs>
        <w:overflowPunct w:val="0"/>
        <w:autoSpaceDE w:val="0"/>
        <w:autoSpaceDN w:val="0"/>
        <w:adjustRightInd w:val="0"/>
        <w:spacing w:after="0" w:line="240" w:lineRule="auto"/>
        <w:jc w:val="center"/>
        <w:textAlignment w:val="baseline"/>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912"/>
      </w:tblGrid>
      <w:tr w:rsidR="0059775B" w:rsidTr="0059775B">
        <w:trPr>
          <w:trHeight w:val="366"/>
        </w:trPr>
        <w:tc>
          <w:tcPr>
            <w:tcW w:w="1493" w:type="pct"/>
            <w:tcBorders>
              <w:top w:val="single" w:sz="8"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r>
              <w:rPr>
                <w:rFonts w:ascii="Times New Roman" w:hAnsi="Times New Roman"/>
                <w:b/>
                <w:sz w:val="24"/>
                <w:szCs w:val="24"/>
                <w:lang w:val="en-GB" w:eastAsia="ar-SA"/>
              </w:rPr>
              <w:t>I BENDROSIOS NUOSTATOS</w:t>
            </w:r>
          </w:p>
        </w:tc>
        <w:tc>
          <w:tcPr>
            <w:tcW w:w="3507" w:type="pct"/>
            <w:tcBorders>
              <w:top w:val="single" w:sz="8" w:space="0" w:color="auto"/>
              <w:left w:val="nil"/>
              <w:bottom w:val="single" w:sz="8" w:space="0" w:color="auto"/>
              <w:right w:val="single" w:sz="8" w:space="0" w:color="000000"/>
            </w:tcBorders>
            <w:vAlign w:val="center"/>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Šiame</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dokumente</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aprašoma</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savivaldybės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strateginio</w:t>
            </w:r>
            <w:proofErr w:type="spellEnd"/>
            <w:r>
              <w:rPr>
                <w:rFonts w:ascii="Times New Roman" w:hAnsi="Times New Roman"/>
                <w:sz w:val="24"/>
                <w:szCs w:val="24"/>
                <w:lang w:val="en-GB" w:eastAsia="ar-SA"/>
              </w:rPr>
              <w:t xml:space="preserve"> 2017–2019 </w:t>
            </w:r>
            <w:proofErr w:type="spellStart"/>
            <w:r>
              <w:rPr>
                <w:rFonts w:ascii="Times New Roman" w:hAnsi="Times New Roman"/>
                <w:sz w:val="24"/>
                <w:szCs w:val="24"/>
                <w:lang w:val="en-GB" w:eastAsia="ar-SA"/>
              </w:rPr>
              <w:t>metų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veiklos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plano</w:t>
            </w:r>
            <w:proofErr w:type="spellEnd"/>
            <w:r>
              <w:rPr>
                <w:rFonts w:ascii="Times New Roman" w:hAnsi="Times New Roman"/>
                <w:sz w:val="24"/>
                <w:szCs w:val="24"/>
                <w:lang w:val="en-GB" w:eastAsia="ar-SA"/>
              </w:rPr>
              <w:t xml:space="preserve"> 5 </w:t>
            </w:r>
            <w:proofErr w:type="spellStart"/>
            <w:r>
              <w:rPr>
                <w:rFonts w:ascii="Times New Roman" w:hAnsi="Times New Roman"/>
                <w:sz w:val="24"/>
                <w:szCs w:val="24"/>
                <w:lang w:val="en-GB" w:eastAsia="ar-SA"/>
              </w:rPr>
              <w:t>programos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Palankios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socialinės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aplinkos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kūrimas</w:t>
            </w:r>
            <w:proofErr w:type="spellEnd"/>
            <w:r>
              <w:rPr>
                <w:rFonts w:ascii="Times New Roman" w:hAnsi="Times New Roman"/>
                <w:sz w:val="24"/>
                <w:szCs w:val="24"/>
                <w:lang w:val="en-GB" w:eastAsia="ar-SA"/>
              </w:rPr>
              <w:t xml:space="preserve">“ 5.1.3.02 </w:t>
            </w:r>
            <w:proofErr w:type="spellStart"/>
            <w:r>
              <w:rPr>
                <w:rFonts w:ascii="Times New Roman" w:hAnsi="Times New Roman"/>
                <w:sz w:val="24"/>
                <w:szCs w:val="24"/>
                <w:lang w:val="en-GB" w:eastAsia="ar-SA"/>
              </w:rPr>
              <w:t>priemonė</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Neįgaliųjų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socialinės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integracijos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įgyvendinimas</w:t>
            </w:r>
            <w:proofErr w:type="spellEnd"/>
            <w:r>
              <w:rPr>
                <w:rFonts w:ascii="Times New Roman" w:hAnsi="Times New Roman"/>
                <w:sz w:val="24"/>
                <w:szCs w:val="24"/>
                <w:lang w:val="en-GB" w:eastAsia="ar-SA"/>
              </w:rPr>
              <w:t>“ (</w:t>
            </w:r>
            <w:proofErr w:type="spellStart"/>
            <w:r>
              <w:rPr>
                <w:rFonts w:ascii="Times New Roman" w:hAnsi="Times New Roman"/>
                <w:sz w:val="24"/>
                <w:szCs w:val="24"/>
                <w:lang w:val="en-GB" w:eastAsia="ar-SA"/>
              </w:rPr>
              <w:t>toliau</w:t>
            </w:r>
            <w:proofErr w:type="spellEnd"/>
            <w:r>
              <w:rPr>
                <w:rFonts w:ascii="Times New Roman" w:hAnsi="Times New Roman"/>
                <w:sz w:val="24"/>
                <w:szCs w:val="24"/>
                <w:lang w:val="en-GB" w:eastAsia="ar-SA"/>
              </w:rPr>
              <w:t xml:space="preserve"> – </w:t>
            </w:r>
            <w:proofErr w:type="spellStart"/>
            <w:r>
              <w:rPr>
                <w:rFonts w:ascii="Times New Roman" w:hAnsi="Times New Roman"/>
                <w:sz w:val="24"/>
                <w:szCs w:val="24"/>
                <w:lang w:val="en-GB" w:eastAsia="ar-SA"/>
              </w:rPr>
              <w:t>Priemonė</w:t>
            </w:r>
            <w:proofErr w:type="spellEnd"/>
            <w:r>
              <w:rPr>
                <w:rFonts w:ascii="Times New Roman" w:hAnsi="Times New Roman"/>
                <w:sz w:val="24"/>
                <w:szCs w:val="24"/>
                <w:lang w:val="en-GB" w:eastAsia="ar-SA"/>
              </w:rPr>
              <w:t>).</w:t>
            </w:r>
          </w:p>
        </w:tc>
      </w:tr>
      <w:tr w:rsidR="0059775B" w:rsidTr="0059775B">
        <w:trPr>
          <w:trHeight w:val="366"/>
        </w:trPr>
        <w:tc>
          <w:tcPr>
            <w:tcW w:w="1493" w:type="pct"/>
            <w:tcBorders>
              <w:top w:val="single" w:sz="8"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Priemonės</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pavadinimas</w:t>
            </w:r>
            <w:proofErr w:type="spellEnd"/>
          </w:p>
        </w:tc>
        <w:tc>
          <w:tcPr>
            <w:tcW w:w="3507" w:type="pct"/>
            <w:tcBorders>
              <w:top w:val="single" w:sz="8" w:space="0" w:color="auto"/>
              <w:left w:val="nil"/>
              <w:bottom w:val="single" w:sz="8" w:space="0" w:color="auto"/>
              <w:right w:val="single" w:sz="8" w:space="0" w:color="000000"/>
            </w:tcBorders>
            <w:vAlign w:val="center"/>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s-ES" w:eastAsia="ar-SA"/>
              </w:rPr>
            </w:pPr>
            <w:r>
              <w:rPr>
                <w:rFonts w:ascii="Times New Roman" w:hAnsi="Times New Roman"/>
                <w:sz w:val="24"/>
                <w:szCs w:val="24"/>
                <w:lang w:val="es-ES" w:eastAsia="ar-SA"/>
              </w:rPr>
              <w:t>„Neįgaliųjų socialinės integracijos projektų įgyvendinimas“.</w:t>
            </w:r>
          </w:p>
        </w:tc>
      </w:tr>
      <w:tr w:rsidR="0059775B" w:rsidTr="0059775B">
        <w:trPr>
          <w:trHeight w:val="366"/>
        </w:trPr>
        <w:tc>
          <w:tcPr>
            <w:tcW w:w="1493" w:type="pct"/>
            <w:tcBorders>
              <w:top w:val="single" w:sz="8"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bCs/>
                <w:sz w:val="24"/>
                <w:szCs w:val="20"/>
                <w:lang w:val="en-GB" w:eastAsia="ar-SA"/>
              </w:rPr>
            </w:pPr>
            <w:proofErr w:type="spellStart"/>
            <w:r>
              <w:rPr>
                <w:rFonts w:ascii="Times New Roman" w:hAnsi="Times New Roman"/>
                <w:b/>
                <w:bCs/>
                <w:sz w:val="24"/>
                <w:szCs w:val="20"/>
                <w:lang w:val="en-GB" w:eastAsia="ar-SA"/>
              </w:rPr>
              <w:t>Priemonės</w:t>
            </w:r>
            <w:proofErr w:type="spellEnd"/>
            <w:r>
              <w:rPr>
                <w:rFonts w:ascii="Times New Roman" w:hAnsi="Times New Roman"/>
                <w:b/>
                <w:bCs/>
                <w:sz w:val="24"/>
                <w:szCs w:val="20"/>
                <w:lang w:val="en-GB" w:eastAsia="ar-SA"/>
              </w:rPr>
              <w:t xml:space="preserve"> </w:t>
            </w:r>
            <w:proofErr w:type="spellStart"/>
            <w:r>
              <w:rPr>
                <w:rFonts w:ascii="Times New Roman" w:hAnsi="Times New Roman"/>
                <w:b/>
                <w:bCs/>
                <w:sz w:val="24"/>
                <w:szCs w:val="20"/>
                <w:lang w:val="en-GB" w:eastAsia="ar-SA"/>
              </w:rPr>
              <w:t>Nr</w:t>
            </w:r>
            <w:proofErr w:type="spellEnd"/>
            <w:r>
              <w:rPr>
                <w:rFonts w:ascii="Times New Roman" w:hAnsi="Times New Roman"/>
                <w:b/>
                <w:bCs/>
                <w:sz w:val="24"/>
                <w:szCs w:val="20"/>
                <w:lang w:val="en-GB" w:eastAsia="ar-SA"/>
              </w:rPr>
              <w:t>.</w:t>
            </w:r>
          </w:p>
        </w:tc>
        <w:tc>
          <w:tcPr>
            <w:tcW w:w="3507" w:type="pct"/>
            <w:tcBorders>
              <w:top w:val="single" w:sz="8"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r>
              <w:rPr>
                <w:rFonts w:ascii="Times New Roman" w:hAnsi="Times New Roman"/>
                <w:sz w:val="24"/>
                <w:szCs w:val="24"/>
                <w:lang w:val="en-GB" w:eastAsia="ar-SA"/>
              </w:rPr>
              <w:t>5.1.3.02</w:t>
            </w:r>
          </w:p>
        </w:tc>
      </w:tr>
      <w:tr w:rsidR="0059775B" w:rsidTr="0059775B">
        <w:trPr>
          <w:trHeight w:val="366"/>
        </w:trPr>
        <w:tc>
          <w:tcPr>
            <w:tcW w:w="1493" w:type="pct"/>
            <w:tcBorders>
              <w:top w:val="single" w:sz="8" w:space="0" w:color="auto"/>
              <w:left w:val="single" w:sz="8" w:space="0" w:color="auto"/>
              <w:bottom w:val="single" w:sz="4"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0"/>
                <w:lang w:val="en-GB" w:eastAsia="ar-SA"/>
              </w:rPr>
            </w:pPr>
            <w:proofErr w:type="spellStart"/>
            <w:r>
              <w:rPr>
                <w:rFonts w:ascii="Times New Roman" w:hAnsi="Times New Roman"/>
                <w:b/>
                <w:sz w:val="24"/>
                <w:szCs w:val="20"/>
                <w:lang w:val="en-GB" w:eastAsia="ar-SA"/>
              </w:rPr>
              <w:t>Priemonės</w:t>
            </w:r>
            <w:proofErr w:type="spellEnd"/>
            <w:r>
              <w:rPr>
                <w:rFonts w:ascii="Times New Roman" w:hAnsi="Times New Roman"/>
                <w:b/>
                <w:sz w:val="24"/>
                <w:szCs w:val="20"/>
                <w:lang w:val="en-GB" w:eastAsia="ar-SA"/>
              </w:rPr>
              <w:t xml:space="preserve"> </w:t>
            </w:r>
            <w:proofErr w:type="spellStart"/>
            <w:r>
              <w:rPr>
                <w:rFonts w:ascii="Times New Roman" w:hAnsi="Times New Roman"/>
                <w:b/>
                <w:sz w:val="24"/>
                <w:szCs w:val="20"/>
                <w:lang w:val="en-GB" w:eastAsia="ar-SA"/>
              </w:rPr>
              <w:t>įgyvendinimo</w:t>
            </w:r>
            <w:proofErr w:type="spellEnd"/>
            <w:r>
              <w:rPr>
                <w:rFonts w:ascii="Times New Roman" w:hAnsi="Times New Roman"/>
                <w:b/>
                <w:sz w:val="24"/>
                <w:szCs w:val="20"/>
                <w:lang w:val="en-GB" w:eastAsia="ar-SA"/>
              </w:rPr>
              <w:t xml:space="preserve"> </w:t>
            </w:r>
            <w:proofErr w:type="spellStart"/>
            <w:r>
              <w:rPr>
                <w:rFonts w:ascii="Times New Roman" w:hAnsi="Times New Roman"/>
                <w:b/>
                <w:sz w:val="24"/>
                <w:szCs w:val="20"/>
                <w:lang w:val="en-GB" w:eastAsia="ar-SA"/>
              </w:rPr>
              <w:t>laikotarpis</w:t>
            </w:r>
            <w:proofErr w:type="spellEnd"/>
          </w:p>
        </w:tc>
        <w:tc>
          <w:tcPr>
            <w:tcW w:w="3507" w:type="pct"/>
            <w:tcBorders>
              <w:top w:val="single" w:sz="8" w:space="0" w:color="auto"/>
              <w:left w:val="nil"/>
              <w:bottom w:val="single" w:sz="4" w:space="0" w:color="auto"/>
              <w:right w:val="single" w:sz="8" w:space="0" w:color="000000"/>
            </w:tcBorders>
            <w:vAlign w:val="center"/>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r>
              <w:rPr>
                <w:rFonts w:ascii="Times New Roman" w:hAnsi="Times New Roman"/>
                <w:sz w:val="24"/>
                <w:szCs w:val="24"/>
                <w:lang w:val="en-GB" w:eastAsia="ar-SA"/>
              </w:rPr>
              <w:t>2017–2019 m.</w:t>
            </w:r>
          </w:p>
        </w:tc>
      </w:tr>
      <w:tr w:rsidR="0059775B" w:rsidTr="0059775B">
        <w:trPr>
          <w:trHeight w:val="335"/>
        </w:trPr>
        <w:tc>
          <w:tcPr>
            <w:tcW w:w="1493" w:type="pct"/>
            <w:tcBorders>
              <w:top w:val="single" w:sz="4" w:space="0" w:color="auto"/>
              <w:left w:val="single" w:sz="8" w:space="0" w:color="auto"/>
              <w:bottom w:val="single" w:sz="4"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0"/>
                <w:lang w:val="en-GB" w:eastAsia="ar-SA"/>
              </w:rPr>
            </w:pPr>
            <w:proofErr w:type="spellStart"/>
            <w:r>
              <w:rPr>
                <w:rFonts w:ascii="Times New Roman" w:hAnsi="Times New Roman"/>
                <w:b/>
                <w:sz w:val="24"/>
                <w:szCs w:val="20"/>
                <w:lang w:val="en-GB" w:eastAsia="ar-SA"/>
              </w:rPr>
              <w:t>Asignavimų</w:t>
            </w:r>
            <w:proofErr w:type="spellEnd"/>
            <w:r>
              <w:rPr>
                <w:rFonts w:ascii="Times New Roman" w:hAnsi="Times New Roman"/>
                <w:b/>
                <w:sz w:val="24"/>
                <w:szCs w:val="20"/>
                <w:lang w:val="en-GB" w:eastAsia="ar-SA"/>
              </w:rPr>
              <w:t xml:space="preserve"> </w:t>
            </w:r>
            <w:proofErr w:type="spellStart"/>
            <w:r>
              <w:rPr>
                <w:rFonts w:ascii="Times New Roman" w:hAnsi="Times New Roman"/>
                <w:b/>
                <w:sz w:val="24"/>
                <w:szCs w:val="20"/>
                <w:lang w:val="en-GB" w:eastAsia="ar-SA"/>
              </w:rPr>
              <w:t>valdytojas</w:t>
            </w:r>
            <w:proofErr w:type="spellEnd"/>
            <w:r>
              <w:rPr>
                <w:rFonts w:ascii="Times New Roman" w:hAnsi="Times New Roman"/>
                <w:b/>
                <w:sz w:val="24"/>
                <w:szCs w:val="20"/>
                <w:lang w:val="en-GB" w:eastAsia="ar-SA"/>
              </w:rPr>
              <w:t xml:space="preserve"> </w:t>
            </w:r>
          </w:p>
        </w:tc>
        <w:tc>
          <w:tcPr>
            <w:tcW w:w="3507" w:type="pct"/>
            <w:tcBorders>
              <w:top w:val="single" w:sz="4" w:space="0" w:color="auto"/>
              <w:left w:val="nil"/>
              <w:bottom w:val="single" w:sz="4"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b/>
                <w:bCs/>
                <w:iCs/>
                <w:sz w:val="24"/>
                <w:szCs w:val="24"/>
                <w:lang w:val="en-GB" w:eastAsia="ar-SA"/>
              </w:rPr>
            </w:pP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savivaldybės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administracijos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direktorius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toliau</w:t>
            </w:r>
            <w:proofErr w:type="spellEnd"/>
            <w:r>
              <w:rPr>
                <w:rFonts w:ascii="Times New Roman" w:hAnsi="Times New Roman"/>
                <w:sz w:val="24"/>
                <w:szCs w:val="24"/>
                <w:lang w:val="en-GB" w:eastAsia="ar-SA"/>
              </w:rPr>
              <w:t xml:space="preserve"> – </w:t>
            </w:r>
            <w:proofErr w:type="spellStart"/>
            <w:r>
              <w:rPr>
                <w:rFonts w:ascii="Times New Roman" w:hAnsi="Times New Roman"/>
                <w:sz w:val="24"/>
                <w:szCs w:val="24"/>
                <w:lang w:val="en-GB" w:eastAsia="ar-SA"/>
              </w:rPr>
              <w:t>Administracijos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direktorius</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bCs/>
                <w:sz w:val="24"/>
                <w:szCs w:val="24"/>
                <w:lang w:eastAsia="ar-SA"/>
              </w:rPr>
            </w:pPr>
            <w:r>
              <w:rPr>
                <w:rFonts w:ascii="Times New Roman" w:hAnsi="Times New Roman"/>
                <w:b/>
                <w:bCs/>
                <w:sz w:val="24"/>
                <w:szCs w:val="24"/>
                <w:lang w:eastAsia="ar-SA"/>
              </w:rPr>
              <w:t>Su priemonės įgyvendinimu susiję įstatymai ir kiti teisės aktai</w:t>
            </w:r>
          </w:p>
        </w:tc>
        <w:tc>
          <w:tcPr>
            <w:tcW w:w="3507" w:type="pct"/>
            <w:tcBorders>
              <w:top w:val="single" w:sz="4" w:space="0" w:color="auto"/>
              <w:left w:val="nil"/>
              <w:bottom w:val="single" w:sz="8" w:space="0" w:color="auto"/>
              <w:right w:val="single" w:sz="8" w:space="0" w:color="000000"/>
            </w:tcBorders>
            <w:hideMark/>
          </w:tcPr>
          <w:p w:rsidR="0059775B" w:rsidRDefault="0059775B">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Lietuvos Respublikos vietos savivaldos įstatymas.</w:t>
            </w:r>
          </w:p>
          <w:p w:rsidR="0059775B" w:rsidRDefault="0059775B">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Lietuvos Respublikos socialinių paslaugų įstatymas.</w:t>
            </w:r>
          </w:p>
          <w:p w:rsidR="0059775B" w:rsidRDefault="0059775B">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Lietuvos Respublikos neįgaliųjų socialinės integracijos įstatymas.</w:t>
            </w:r>
          </w:p>
          <w:p w:rsidR="0059775B" w:rsidRDefault="0059775B">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 xml:space="preserve">Anykščių rajono savivaldybės strateginis 2012-2019 metų plėtros planas, patvirtintas Anykščių rajono savivaldybės tarybos 2011 m. gruodžio 22 d. sprendimu </w:t>
            </w:r>
            <w:bookmarkStart w:id="0" w:name="n_33"/>
            <w:r>
              <w:rPr>
                <w:rFonts w:ascii="Times New Roman" w:hAnsi="Times New Roman"/>
                <w:sz w:val="24"/>
                <w:szCs w:val="24"/>
                <w:lang w:val="es-ES" w:eastAsia="ar-SA"/>
              </w:rPr>
              <w:t>Nr. TS-375</w:t>
            </w:r>
            <w:bookmarkEnd w:id="0"/>
            <w:r>
              <w:rPr>
                <w:rFonts w:ascii="Times New Roman" w:hAnsi="Times New Roman"/>
                <w:sz w:val="24"/>
                <w:szCs w:val="24"/>
                <w:lang w:val="es-ES" w:eastAsia="ar-SA"/>
              </w:rPr>
              <w:t>.</w:t>
            </w:r>
          </w:p>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s-ES" w:eastAsia="ar-SA"/>
              </w:rPr>
            </w:pPr>
            <w:r>
              <w:rPr>
                <w:rFonts w:ascii="Times New Roman" w:hAnsi="Times New Roman"/>
                <w:sz w:val="24"/>
                <w:szCs w:val="24"/>
                <w:lang w:val="es-ES" w:eastAsia="ar-SA"/>
              </w:rPr>
              <w:t xml:space="preserve">Anykščių rajono savivaldybės strateginis 2017-2019 metų veiklos planas, patvirtintas Anykščių rajono savivaldybės tarybos 2017 m. sausio 26  d. sprendimu </w:t>
            </w:r>
            <w:bookmarkStart w:id="1" w:name="n_34"/>
            <w:r>
              <w:rPr>
                <w:rFonts w:ascii="Times New Roman" w:hAnsi="Times New Roman"/>
                <w:sz w:val="24"/>
                <w:szCs w:val="24"/>
                <w:lang w:val="es-ES" w:eastAsia="ar-SA"/>
              </w:rPr>
              <w:t xml:space="preserve">Nr. 1-TS-14  </w:t>
            </w:r>
            <w:bookmarkEnd w:id="1"/>
            <w:r>
              <w:rPr>
                <w:rFonts w:ascii="Times New Roman" w:hAnsi="Times New Roman"/>
                <w:sz w:val="24"/>
                <w:szCs w:val="24"/>
                <w:lang w:val="es-ES" w:eastAsia="ar-SA"/>
              </w:rPr>
              <w:t xml:space="preserve">.     </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bCs/>
                <w:sz w:val="24"/>
                <w:szCs w:val="24"/>
                <w:lang w:val="en-GB" w:eastAsia="ar-SA"/>
              </w:rPr>
            </w:pPr>
            <w:proofErr w:type="spellStart"/>
            <w:r>
              <w:rPr>
                <w:rFonts w:ascii="Times New Roman" w:hAnsi="Times New Roman"/>
                <w:b/>
                <w:sz w:val="24"/>
                <w:szCs w:val="24"/>
                <w:lang w:val="en-GB" w:eastAsia="ar-SA"/>
              </w:rPr>
              <w:t>Priemonės</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vykdytojai</w:t>
            </w:r>
            <w:proofErr w:type="spellEnd"/>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teritorijoje</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veikiančios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neįgaliuosius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atstovaujančios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organizacijos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bei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įstaigos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įmonės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organizacijos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asociacijos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draugijos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teikiančios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paslaugas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neįgaliesiems</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Priemonės</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koordinatorius</w:t>
            </w:r>
            <w:proofErr w:type="spellEnd"/>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s-ES" w:eastAsia="ar-SA"/>
              </w:rPr>
            </w:pPr>
            <w:r>
              <w:rPr>
                <w:rFonts w:ascii="Times New Roman" w:hAnsi="Times New Roman"/>
                <w:sz w:val="24"/>
                <w:szCs w:val="24"/>
                <w:lang w:val="es-ES" w:eastAsia="ar-SA"/>
              </w:rPr>
              <w:t>Anykščių rajono savivaldybės administracijos Socialinės paramos skyrius (toliau – Socialinės paramos skyrius).</w:t>
            </w:r>
          </w:p>
        </w:tc>
      </w:tr>
      <w:tr w:rsidR="0059775B" w:rsidTr="0059775B">
        <w:trPr>
          <w:trHeight w:val="269"/>
        </w:trPr>
        <w:tc>
          <w:tcPr>
            <w:tcW w:w="1493" w:type="pct"/>
            <w:tcBorders>
              <w:top w:val="single" w:sz="4" w:space="0" w:color="auto"/>
              <w:left w:val="single" w:sz="8" w:space="0" w:color="auto"/>
              <w:bottom w:val="single" w:sz="8" w:space="0" w:color="auto"/>
              <w:right w:val="single" w:sz="4" w:space="0" w:color="auto"/>
            </w:tcBorders>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r>
              <w:rPr>
                <w:rFonts w:ascii="Times New Roman" w:hAnsi="Times New Roman"/>
                <w:b/>
                <w:sz w:val="24"/>
                <w:szCs w:val="24"/>
                <w:lang w:val="en-GB" w:eastAsia="ar-SA"/>
              </w:rPr>
              <w:t>II PRIEMONĖS PARENGIMO ARGUMENTAI</w:t>
            </w:r>
          </w:p>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Priemonė</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parengta</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siekiant</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įgyvendinti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savivaldybės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strateginio</w:t>
            </w:r>
            <w:proofErr w:type="spellEnd"/>
            <w:r>
              <w:rPr>
                <w:rFonts w:ascii="Times New Roman" w:hAnsi="Times New Roman"/>
                <w:sz w:val="24"/>
                <w:szCs w:val="24"/>
                <w:lang w:val="en-GB" w:eastAsia="ar-SA"/>
              </w:rPr>
              <w:t xml:space="preserve"> 2016-2018 </w:t>
            </w:r>
            <w:proofErr w:type="spellStart"/>
            <w:r>
              <w:rPr>
                <w:rFonts w:ascii="Times New Roman" w:hAnsi="Times New Roman"/>
                <w:sz w:val="24"/>
                <w:szCs w:val="24"/>
                <w:lang w:val="en-GB" w:eastAsia="ar-SA"/>
              </w:rPr>
              <w:t>metų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veiklos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plano</w:t>
            </w:r>
            <w:proofErr w:type="spellEnd"/>
            <w:r>
              <w:rPr>
                <w:rFonts w:ascii="Times New Roman" w:hAnsi="Times New Roman"/>
                <w:sz w:val="24"/>
                <w:szCs w:val="24"/>
                <w:lang w:val="en-GB" w:eastAsia="ar-SA"/>
              </w:rPr>
              <w:t xml:space="preserve"> 5 </w:t>
            </w:r>
            <w:proofErr w:type="spellStart"/>
            <w:r>
              <w:rPr>
                <w:rFonts w:ascii="Times New Roman" w:hAnsi="Times New Roman"/>
                <w:sz w:val="24"/>
                <w:szCs w:val="24"/>
                <w:lang w:val="en-GB" w:eastAsia="ar-SA"/>
              </w:rPr>
              <w:t>programos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Palankios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socialinės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aplinkos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kūrimas</w:t>
            </w:r>
            <w:proofErr w:type="spellEnd"/>
            <w:r>
              <w:rPr>
                <w:rFonts w:ascii="Times New Roman" w:hAnsi="Times New Roman"/>
                <w:sz w:val="24"/>
                <w:szCs w:val="24"/>
                <w:lang w:val="en-GB" w:eastAsia="ar-SA"/>
              </w:rPr>
              <w:t xml:space="preserve">“ 5.1 </w:t>
            </w:r>
            <w:proofErr w:type="spellStart"/>
            <w:r>
              <w:rPr>
                <w:rFonts w:ascii="Times New Roman" w:hAnsi="Times New Roman"/>
                <w:sz w:val="24"/>
                <w:szCs w:val="24"/>
                <w:lang w:val="en-GB" w:eastAsia="ar-SA"/>
              </w:rPr>
              <w:t>tikslo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Teikti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ir</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plėsti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socialinę</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paramą</w:t>
            </w:r>
            <w:proofErr w:type="spellEnd"/>
            <w:r>
              <w:rPr>
                <w:rFonts w:ascii="Times New Roman" w:hAnsi="Times New Roman"/>
                <w:sz w:val="24"/>
                <w:szCs w:val="24"/>
                <w:lang w:val="en-GB" w:eastAsia="ar-SA"/>
              </w:rPr>
              <w:t xml:space="preserve">“ 5.1.1 </w:t>
            </w:r>
            <w:proofErr w:type="spellStart"/>
            <w:r>
              <w:rPr>
                <w:rFonts w:ascii="Times New Roman" w:hAnsi="Times New Roman"/>
                <w:sz w:val="24"/>
                <w:szCs w:val="24"/>
                <w:lang w:val="en-GB" w:eastAsia="ar-SA"/>
              </w:rPr>
              <w:t>uždavinį</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Užtikrinti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socialinių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paslaugų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kokybę</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ir</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prieinamumą</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r>
              <w:rPr>
                <w:rFonts w:ascii="Times New Roman" w:hAnsi="Times New Roman"/>
                <w:b/>
                <w:sz w:val="24"/>
                <w:szCs w:val="24"/>
                <w:lang w:val="en-GB" w:eastAsia="ar-SA"/>
              </w:rPr>
              <w:t>III PRIEMONĖS APRAŠYMAS</w:t>
            </w:r>
          </w:p>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sz w:val="24"/>
                <w:szCs w:val="24"/>
                <w:lang w:val="en-GB" w:eastAsia="ar-SA"/>
              </w:rPr>
            </w:pPr>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Priemonę</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sudaro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teritorijoje</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veikiančių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neįgaliuosius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atstovaujančių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organizacijų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bei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įstaigų</w:t>
            </w:r>
            <w:proofErr w:type="spellEnd"/>
            <w:r>
              <w:rPr>
                <w:rFonts w:ascii="Times New Roman" w:hAnsi="Times New Roman"/>
                <w:sz w:val="24"/>
                <w:szCs w:val="24"/>
                <w:lang w:val="en-GB" w:eastAsia="ar-SA"/>
              </w:rPr>
              <w:t xml:space="preserve"> / </w:t>
            </w:r>
            <w:proofErr w:type="spellStart"/>
            <w:r>
              <w:rPr>
                <w:rFonts w:ascii="Times New Roman" w:hAnsi="Times New Roman"/>
                <w:sz w:val="24"/>
                <w:szCs w:val="24"/>
                <w:lang w:val="en-GB" w:eastAsia="ar-SA"/>
              </w:rPr>
              <w:t>įmonių</w:t>
            </w:r>
            <w:proofErr w:type="spellEnd"/>
            <w:r>
              <w:rPr>
                <w:rFonts w:ascii="Times New Roman" w:hAnsi="Times New Roman"/>
                <w:sz w:val="24"/>
                <w:szCs w:val="24"/>
                <w:lang w:val="en-GB" w:eastAsia="ar-SA"/>
              </w:rPr>
              <w:t xml:space="preserve"> / </w:t>
            </w:r>
            <w:proofErr w:type="spellStart"/>
            <w:r>
              <w:rPr>
                <w:rFonts w:ascii="Times New Roman" w:hAnsi="Times New Roman"/>
                <w:sz w:val="24"/>
                <w:szCs w:val="24"/>
                <w:lang w:val="en-GB" w:eastAsia="ar-SA"/>
              </w:rPr>
              <w:t>organizacijų</w:t>
            </w:r>
            <w:proofErr w:type="spellEnd"/>
            <w:r>
              <w:rPr>
                <w:rFonts w:ascii="Times New Roman" w:hAnsi="Times New Roman"/>
                <w:sz w:val="24"/>
                <w:szCs w:val="24"/>
                <w:lang w:val="en-GB" w:eastAsia="ar-SA"/>
              </w:rPr>
              <w:t xml:space="preserve"> / </w:t>
            </w:r>
            <w:proofErr w:type="spellStart"/>
            <w:r>
              <w:rPr>
                <w:rFonts w:ascii="Times New Roman" w:hAnsi="Times New Roman"/>
                <w:sz w:val="24"/>
                <w:szCs w:val="24"/>
                <w:lang w:val="en-GB" w:eastAsia="ar-SA"/>
              </w:rPr>
              <w:t>asociacijų</w:t>
            </w:r>
            <w:proofErr w:type="spellEnd"/>
            <w:r>
              <w:rPr>
                <w:rFonts w:ascii="Times New Roman" w:hAnsi="Times New Roman"/>
                <w:sz w:val="24"/>
                <w:szCs w:val="24"/>
                <w:lang w:val="en-GB" w:eastAsia="ar-SA"/>
              </w:rPr>
              <w:t xml:space="preserve"> / </w:t>
            </w:r>
            <w:proofErr w:type="spellStart"/>
            <w:r>
              <w:rPr>
                <w:rFonts w:ascii="Times New Roman" w:hAnsi="Times New Roman"/>
                <w:sz w:val="24"/>
                <w:szCs w:val="24"/>
                <w:lang w:val="en-GB" w:eastAsia="ar-SA"/>
              </w:rPr>
              <w:t>draugijų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teikiančių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paslaugas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neįgaliesiems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projektinės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veiklos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finansavimas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išskyrus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finansuojamus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pagal</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valstybinę</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Neįgaliųjų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socialinės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reabilitacijos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paslaugų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bendruomenėje</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programą</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Priemonės</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tikslas</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ai</w:t>
            </w:r>
            <w:proofErr w:type="spellEnd"/>
            <w:r>
              <w:rPr>
                <w:rFonts w:ascii="Times New Roman" w:hAnsi="Times New Roman"/>
                <w:b/>
                <w:sz w:val="24"/>
                <w:szCs w:val="24"/>
                <w:lang w:val="en-GB" w:eastAsia="ar-SA"/>
              </w:rPr>
              <w:t>)</w:t>
            </w:r>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Sudaryti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neįgaliesiems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lygias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galimybes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ir</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gerinti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neįgaliųjų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socialinę</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integraciją</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bei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mažinti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socialinę</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atskirtį</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atstovaujant</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ir</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ginant</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neįgaliųjų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teises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tolygiai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plėtojant</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paslaugas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neįgaliesiems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bendruomenėje</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didinant</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neįgaliųjų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savarankiškumą</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motyvaciją</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lastRenderedPageBreak/>
              <w:t>dirbti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užtikrinant</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neįgaliųjų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dalyvavimą</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socialinėje</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kultūrinėje</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veikloje</w:t>
            </w:r>
            <w:proofErr w:type="spellEnd"/>
            <w:r>
              <w:rPr>
                <w:rFonts w:ascii="Times New Roman" w:hAnsi="Times New Roman"/>
                <w:sz w:val="24"/>
                <w:szCs w:val="24"/>
                <w:lang w:val="en-GB" w:eastAsia="ar-SA"/>
              </w:rPr>
              <w:t xml:space="preserve">, į </w:t>
            </w:r>
            <w:proofErr w:type="spellStart"/>
            <w:r>
              <w:rPr>
                <w:rFonts w:ascii="Times New Roman" w:hAnsi="Times New Roman"/>
                <w:sz w:val="24"/>
                <w:szCs w:val="24"/>
                <w:lang w:val="en-GB" w:eastAsia="ar-SA"/>
              </w:rPr>
              <w:t>šį</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procesą</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įtraukiant</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neįgaliuosius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atstovaujančias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sveikatos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šveitimo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sporto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ir</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kultūros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įstaigas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bei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kitas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įstaigas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įmones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organizacijas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asociacijas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draugijas</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lastRenderedPageBreak/>
              <w:t>Tikslo</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įgyvendinimo</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aprašymas</w:t>
            </w:r>
            <w:proofErr w:type="spellEnd"/>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Lygių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galimybių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sudarymas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neįgaliesiems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neįgaliųjų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socialinės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integracijos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gerinimas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bei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socialinės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atskirties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mažinimas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atstovaujant</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ir</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ginant</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neįgaliųjų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teises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paslaugų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neįgaliesiems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bendruomenėje</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plėtra</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neįgaliųjų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savarankiškumo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didinimas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ir</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neįgaliųjų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dalyvavimo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socialinėje</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kultūrinėje</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veikloje</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užtikrinimas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įtraukiant</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neįgaliuosius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atstovaujančias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sveikatos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šveitimo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sporto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ir</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kultūros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įstaigas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bei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kitas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įstaigas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įmones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organizacijas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asociacijas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draugijas</w:t>
            </w:r>
            <w:proofErr w:type="spellEnd"/>
            <w:r>
              <w:rPr>
                <w:rFonts w:ascii="Times New Roman" w:hAnsi="Times New Roman"/>
                <w:sz w:val="24"/>
                <w:szCs w:val="24"/>
                <w:lang w:val="en-GB" w:eastAsia="ar-SA"/>
              </w:rPr>
              <w:t>.</w:t>
            </w:r>
          </w:p>
        </w:tc>
      </w:tr>
      <w:tr w:rsidR="0059775B" w:rsidTr="0059775B">
        <w:trPr>
          <w:trHeight w:val="32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Uždavinys</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Nr</w:t>
            </w:r>
            <w:proofErr w:type="spellEnd"/>
            <w:r>
              <w:rPr>
                <w:rFonts w:ascii="Times New Roman" w:hAnsi="Times New Roman"/>
                <w:b/>
                <w:sz w:val="24"/>
                <w:szCs w:val="24"/>
                <w:lang w:val="en-GB" w:eastAsia="ar-SA"/>
              </w:rPr>
              <w:t>. 1</w:t>
            </w:r>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s-ES" w:eastAsia="ar-SA"/>
              </w:rPr>
            </w:pPr>
            <w:r>
              <w:rPr>
                <w:rFonts w:ascii="Times New Roman" w:hAnsi="Times New Roman"/>
                <w:sz w:val="24"/>
                <w:szCs w:val="24"/>
                <w:lang w:val="es-ES" w:eastAsia="ar-SA"/>
              </w:rPr>
              <w:t>Skatinti žmonių su negalia ir jų organizacijų veiklą.</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Priemonės</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uždaviniui</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Nr</w:t>
            </w:r>
            <w:proofErr w:type="spellEnd"/>
            <w:r>
              <w:rPr>
                <w:rFonts w:ascii="Times New Roman" w:hAnsi="Times New Roman"/>
                <w:b/>
                <w:sz w:val="24"/>
                <w:szCs w:val="24"/>
                <w:lang w:val="en-GB" w:eastAsia="ar-SA"/>
              </w:rPr>
              <w:t xml:space="preserve">. 1 </w:t>
            </w:r>
            <w:proofErr w:type="spellStart"/>
            <w:r>
              <w:rPr>
                <w:rFonts w:ascii="Times New Roman" w:hAnsi="Times New Roman"/>
                <w:b/>
                <w:sz w:val="24"/>
                <w:szCs w:val="24"/>
                <w:lang w:val="en-GB" w:eastAsia="ar-SA"/>
              </w:rPr>
              <w:t>pasiekti</w:t>
            </w:r>
            <w:proofErr w:type="spellEnd"/>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0"/>
                <w:tab w:val="left" w:pos="851"/>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Finansuoti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kokybiškai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parengtus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ir</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realiai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įgyvendinamus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įstaigų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įmonių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organizacijų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Projektai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finansuojami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Administracijos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direktoriaus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nustatyta</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tvarka</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Siekiami</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rezultatai</w:t>
            </w:r>
            <w:proofErr w:type="spellEnd"/>
            <w:r>
              <w:rPr>
                <w:rFonts w:ascii="Times New Roman" w:hAnsi="Times New Roman"/>
                <w:b/>
                <w:sz w:val="24"/>
                <w:szCs w:val="24"/>
                <w:lang w:val="en-GB" w:eastAsia="ar-SA"/>
              </w:rPr>
              <w:t>:</w:t>
            </w:r>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Kasmet</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iš</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savivaldybės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biudžeto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lėšų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finansuoti</w:t>
            </w:r>
            <w:proofErr w:type="spellEnd"/>
            <w:r>
              <w:rPr>
                <w:rFonts w:ascii="Times New Roman" w:hAnsi="Times New Roman"/>
                <w:sz w:val="24"/>
                <w:szCs w:val="24"/>
                <w:lang w:val="en-GB" w:eastAsia="ar-SA"/>
              </w:rPr>
              <w:t xml:space="preserve"> ne </w:t>
            </w:r>
            <w:proofErr w:type="spellStart"/>
            <w:proofErr w:type="gramStart"/>
            <w:r>
              <w:rPr>
                <w:rFonts w:ascii="Times New Roman" w:hAnsi="Times New Roman"/>
                <w:sz w:val="24"/>
                <w:szCs w:val="24"/>
                <w:lang w:val="en-GB" w:eastAsia="ar-SA"/>
              </w:rPr>
              <w:t>mažiau</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kaip</w:t>
            </w:r>
            <w:proofErr w:type="spellEnd"/>
            <w:proofErr w:type="gramEnd"/>
            <w:r>
              <w:rPr>
                <w:rFonts w:ascii="Times New Roman" w:hAnsi="Times New Roman"/>
                <w:sz w:val="24"/>
                <w:szCs w:val="24"/>
                <w:lang w:val="en-GB" w:eastAsia="ar-SA"/>
              </w:rPr>
              <w:t xml:space="preserve"> 2 </w:t>
            </w:r>
            <w:proofErr w:type="spellStart"/>
            <w:r>
              <w:rPr>
                <w:rFonts w:ascii="Times New Roman" w:hAnsi="Times New Roman"/>
                <w:sz w:val="24"/>
                <w:szCs w:val="24"/>
                <w:lang w:val="en-GB" w:eastAsia="ar-SA"/>
              </w:rPr>
              <w:t>projektus</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Rezultato</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vertinimo</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kriterijai</w:t>
            </w:r>
            <w:proofErr w:type="spellEnd"/>
          </w:p>
        </w:tc>
        <w:tc>
          <w:tcPr>
            <w:tcW w:w="3507" w:type="pct"/>
            <w:tcBorders>
              <w:top w:val="single" w:sz="4" w:space="0" w:color="auto"/>
              <w:left w:val="nil"/>
              <w:bottom w:val="single" w:sz="8" w:space="0" w:color="auto"/>
              <w:right w:val="single" w:sz="8" w:space="0" w:color="000000"/>
            </w:tcBorders>
            <w:hideMark/>
          </w:tcPr>
          <w:p w:rsidR="0059775B" w:rsidRDefault="0059775B">
            <w:pPr>
              <w:suppressAutoHyphens/>
              <w:spacing w:after="0" w:line="240" w:lineRule="auto"/>
              <w:jc w:val="both"/>
              <w:rPr>
                <w:rFonts w:ascii="Times New Roman" w:hAnsi="Times New Roman"/>
                <w:sz w:val="24"/>
                <w:szCs w:val="24"/>
                <w:lang w:val="en-GB" w:eastAsia="ar-SA"/>
              </w:rPr>
            </w:pPr>
            <w:r>
              <w:rPr>
                <w:rFonts w:ascii="Times New Roman" w:hAnsi="Times New Roman"/>
                <w:sz w:val="24"/>
                <w:szCs w:val="24"/>
                <w:lang w:val="en-GB" w:eastAsia="ar-SA"/>
              </w:rPr>
              <w:t xml:space="preserve">1. </w:t>
            </w:r>
            <w:proofErr w:type="spellStart"/>
            <w:proofErr w:type="gramStart"/>
            <w:r>
              <w:rPr>
                <w:rFonts w:ascii="Times New Roman" w:hAnsi="Times New Roman"/>
                <w:sz w:val="24"/>
                <w:szCs w:val="24"/>
                <w:lang w:val="en-GB" w:eastAsia="ar-SA"/>
              </w:rPr>
              <w:t>Finansuotų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projektų</w:t>
            </w:r>
            <w:proofErr w:type="spellEnd"/>
            <w:proofErr w:type="gram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skaičius</w:t>
            </w:r>
            <w:proofErr w:type="spellEnd"/>
            <w:r>
              <w:rPr>
                <w:rFonts w:ascii="Times New Roman" w:hAnsi="Times New Roman"/>
                <w:sz w:val="24"/>
                <w:szCs w:val="24"/>
                <w:lang w:val="en-GB" w:eastAsia="ar-SA"/>
              </w:rPr>
              <w:t>.</w:t>
            </w:r>
          </w:p>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r>
              <w:rPr>
                <w:rFonts w:ascii="Times New Roman" w:hAnsi="Times New Roman"/>
                <w:sz w:val="24"/>
                <w:szCs w:val="24"/>
                <w:lang w:val="en-GB" w:eastAsia="ar-SA"/>
              </w:rPr>
              <w:t xml:space="preserve">2. </w:t>
            </w:r>
            <w:proofErr w:type="spellStart"/>
            <w:r>
              <w:rPr>
                <w:rFonts w:ascii="Times New Roman" w:hAnsi="Times New Roman"/>
                <w:sz w:val="24"/>
                <w:szCs w:val="24"/>
                <w:lang w:val="en-GB" w:eastAsia="ar-SA"/>
              </w:rPr>
              <w:t>Vidutinis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finansavimo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dydis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vienam</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projektui</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Uždavinys</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Nr</w:t>
            </w:r>
            <w:proofErr w:type="spellEnd"/>
            <w:r>
              <w:rPr>
                <w:rFonts w:ascii="Times New Roman" w:hAnsi="Times New Roman"/>
                <w:b/>
                <w:sz w:val="24"/>
                <w:szCs w:val="24"/>
                <w:lang w:val="en-GB" w:eastAsia="ar-SA"/>
              </w:rPr>
              <w:t>. 2</w:t>
            </w:r>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Remti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neįgaliųjų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organizacijas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atstovaujančias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neįgaliuosius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ir</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vykdančias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neįgaliųjų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socialinės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integracijos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programas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bei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teikiančias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paslaugas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neįgaliesiems</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Priemonės</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uždaviniui</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Nr</w:t>
            </w:r>
            <w:proofErr w:type="spellEnd"/>
            <w:r>
              <w:rPr>
                <w:rFonts w:ascii="Times New Roman" w:hAnsi="Times New Roman"/>
                <w:b/>
                <w:sz w:val="24"/>
                <w:szCs w:val="24"/>
                <w:lang w:val="en-GB" w:eastAsia="ar-SA"/>
              </w:rPr>
              <w:t xml:space="preserve">. 2 </w:t>
            </w:r>
            <w:proofErr w:type="spellStart"/>
            <w:r>
              <w:rPr>
                <w:rFonts w:ascii="Times New Roman" w:hAnsi="Times New Roman"/>
                <w:b/>
                <w:sz w:val="24"/>
                <w:szCs w:val="24"/>
                <w:lang w:val="en-GB" w:eastAsia="ar-SA"/>
              </w:rPr>
              <w:t>pasiekti</w:t>
            </w:r>
            <w:proofErr w:type="spellEnd"/>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Finansuoti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kokybiškai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parengtus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ir</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realiai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įgyvendinamus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įstaigų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įmonių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organizacijų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Projektai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finansuojami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Administracijos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direktoriaus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nustatyta</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tvarka</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Siekiami</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rezultatai</w:t>
            </w:r>
            <w:proofErr w:type="spellEnd"/>
            <w:r>
              <w:rPr>
                <w:rFonts w:ascii="Times New Roman" w:hAnsi="Times New Roman"/>
                <w:b/>
                <w:sz w:val="24"/>
                <w:szCs w:val="24"/>
                <w:lang w:val="en-GB" w:eastAsia="ar-SA"/>
              </w:rPr>
              <w:t>:</w:t>
            </w:r>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Kasmet</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iš</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savivaldybės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biudžeto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lėšų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finansuoti</w:t>
            </w:r>
            <w:proofErr w:type="spellEnd"/>
            <w:r>
              <w:rPr>
                <w:rFonts w:ascii="Times New Roman" w:hAnsi="Times New Roman"/>
                <w:sz w:val="24"/>
                <w:szCs w:val="24"/>
                <w:lang w:val="en-GB" w:eastAsia="ar-SA"/>
              </w:rPr>
              <w:t xml:space="preserve"> ne </w:t>
            </w:r>
            <w:proofErr w:type="spellStart"/>
            <w:proofErr w:type="gramStart"/>
            <w:r>
              <w:rPr>
                <w:rFonts w:ascii="Times New Roman" w:hAnsi="Times New Roman"/>
                <w:sz w:val="24"/>
                <w:szCs w:val="24"/>
                <w:lang w:val="en-GB" w:eastAsia="ar-SA"/>
              </w:rPr>
              <w:t>mažiau</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kaip</w:t>
            </w:r>
            <w:proofErr w:type="spellEnd"/>
            <w:proofErr w:type="gramEnd"/>
            <w:r>
              <w:rPr>
                <w:rFonts w:ascii="Times New Roman" w:hAnsi="Times New Roman"/>
                <w:sz w:val="24"/>
                <w:szCs w:val="24"/>
                <w:lang w:val="en-GB" w:eastAsia="ar-SA"/>
              </w:rPr>
              <w:t xml:space="preserve"> 2 </w:t>
            </w:r>
            <w:proofErr w:type="spellStart"/>
            <w:r>
              <w:rPr>
                <w:rFonts w:ascii="Times New Roman" w:hAnsi="Times New Roman"/>
                <w:sz w:val="24"/>
                <w:szCs w:val="24"/>
                <w:lang w:val="en-GB" w:eastAsia="ar-SA"/>
              </w:rPr>
              <w:t>projektus</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Rezultato</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vertinimo</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kriterijai</w:t>
            </w:r>
            <w:proofErr w:type="spellEnd"/>
          </w:p>
        </w:tc>
        <w:tc>
          <w:tcPr>
            <w:tcW w:w="3507" w:type="pct"/>
            <w:tcBorders>
              <w:top w:val="single" w:sz="4" w:space="0" w:color="auto"/>
              <w:left w:val="nil"/>
              <w:bottom w:val="single" w:sz="8" w:space="0" w:color="auto"/>
              <w:right w:val="single" w:sz="8" w:space="0" w:color="000000"/>
            </w:tcBorders>
            <w:hideMark/>
          </w:tcPr>
          <w:p w:rsidR="0059775B" w:rsidRDefault="0059775B">
            <w:pPr>
              <w:suppressAutoHyphens/>
              <w:spacing w:after="0" w:line="240" w:lineRule="auto"/>
              <w:jc w:val="both"/>
              <w:rPr>
                <w:rFonts w:ascii="Times New Roman" w:hAnsi="Times New Roman"/>
                <w:sz w:val="24"/>
                <w:szCs w:val="24"/>
                <w:lang w:val="en-GB" w:eastAsia="ar-SA"/>
              </w:rPr>
            </w:pPr>
            <w:r>
              <w:rPr>
                <w:rFonts w:ascii="Times New Roman" w:hAnsi="Times New Roman"/>
                <w:sz w:val="24"/>
                <w:szCs w:val="24"/>
                <w:lang w:val="en-GB" w:eastAsia="ar-SA"/>
              </w:rPr>
              <w:t xml:space="preserve">1. </w:t>
            </w:r>
            <w:proofErr w:type="spellStart"/>
            <w:proofErr w:type="gramStart"/>
            <w:r>
              <w:rPr>
                <w:rFonts w:ascii="Times New Roman" w:hAnsi="Times New Roman"/>
                <w:sz w:val="24"/>
                <w:szCs w:val="24"/>
                <w:lang w:val="en-GB" w:eastAsia="ar-SA"/>
              </w:rPr>
              <w:t>Finansuotų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projektų</w:t>
            </w:r>
            <w:proofErr w:type="spellEnd"/>
            <w:proofErr w:type="gram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skaičius</w:t>
            </w:r>
            <w:proofErr w:type="spellEnd"/>
            <w:r>
              <w:rPr>
                <w:rFonts w:ascii="Times New Roman" w:hAnsi="Times New Roman"/>
                <w:sz w:val="24"/>
                <w:szCs w:val="24"/>
                <w:lang w:val="en-GB" w:eastAsia="ar-SA"/>
              </w:rPr>
              <w:t>.</w:t>
            </w:r>
          </w:p>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r>
              <w:rPr>
                <w:rFonts w:ascii="Times New Roman" w:hAnsi="Times New Roman"/>
                <w:sz w:val="24"/>
                <w:szCs w:val="24"/>
                <w:lang w:val="en-GB" w:eastAsia="ar-SA"/>
              </w:rPr>
              <w:t xml:space="preserve">2. </w:t>
            </w:r>
            <w:proofErr w:type="spellStart"/>
            <w:r>
              <w:rPr>
                <w:rFonts w:ascii="Times New Roman" w:hAnsi="Times New Roman"/>
                <w:sz w:val="24"/>
                <w:szCs w:val="24"/>
                <w:lang w:val="en-GB" w:eastAsia="ar-SA"/>
              </w:rPr>
              <w:t>Vidutinis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finansavimo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dydis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vienam</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projektui</w:t>
            </w:r>
            <w:proofErr w:type="spellEnd"/>
            <w:r>
              <w:rPr>
                <w:rFonts w:ascii="Times New Roman" w:hAnsi="Times New Roman"/>
                <w:sz w:val="24"/>
                <w:szCs w:val="24"/>
                <w:lang w:val="en-GB" w:eastAsia="ar-SA"/>
              </w:rPr>
              <w:t>.</w:t>
            </w:r>
          </w:p>
        </w:tc>
      </w:tr>
      <w:tr w:rsidR="0059775B" w:rsidTr="0059775B">
        <w:trPr>
          <w:trHeight w:val="257"/>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Uždavinys</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Nr</w:t>
            </w:r>
            <w:proofErr w:type="spellEnd"/>
            <w:r>
              <w:rPr>
                <w:rFonts w:ascii="Times New Roman" w:hAnsi="Times New Roman"/>
                <w:b/>
                <w:sz w:val="24"/>
                <w:szCs w:val="24"/>
                <w:lang w:val="en-GB" w:eastAsia="ar-SA"/>
              </w:rPr>
              <w:t>. 3</w:t>
            </w:r>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Plėsti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paslaugų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neįgaliesiems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bendruomenėje</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teikimą</w:t>
            </w:r>
            <w:proofErr w:type="spellEnd"/>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Priemonės</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uždaviniui</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Nr</w:t>
            </w:r>
            <w:proofErr w:type="spellEnd"/>
            <w:r>
              <w:rPr>
                <w:rFonts w:ascii="Times New Roman" w:hAnsi="Times New Roman"/>
                <w:b/>
                <w:sz w:val="24"/>
                <w:szCs w:val="24"/>
                <w:lang w:val="en-GB" w:eastAsia="ar-SA"/>
              </w:rPr>
              <w:t xml:space="preserve">. 3 </w:t>
            </w:r>
            <w:proofErr w:type="spellStart"/>
            <w:r>
              <w:rPr>
                <w:rFonts w:ascii="Times New Roman" w:hAnsi="Times New Roman"/>
                <w:b/>
                <w:sz w:val="24"/>
                <w:szCs w:val="24"/>
                <w:lang w:val="en-GB" w:eastAsia="ar-SA"/>
              </w:rPr>
              <w:t>pasiekti</w:t>
            </w:r>
            <w:proofErr w:type="spellEnd"/>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Finansuoti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kokybiškai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parengtus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ir</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realiai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įgyvendinamus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įstaigų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įmonių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organizacijų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Projektai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finansuojami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Administracijos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direktoriaus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nustatyta</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tvarka</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Siekiami</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rezultatai</w:t>
            </w:r>
            <w:proofErr w:type="spellEnd"/>
            <w:r>
              <w:rPr>
                <w:rFonts w:ascii="Times New Roman" w:hAnsi="Times New Roman"/>
                <w:b/>
                <w:sz w:val="24"/>
                <w:szCs w:val="24"/>
                <w:lang w:val="en-GB" w:eastAsia="ar-SA"/>
              </w:rPr>
              <w:t>:</w:t>
            </w:r>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Kasmet</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iš</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savivaldybės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biudžeto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lėšų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finansuoti</w:t>
            </w:r>
            <w:proofErr w:type="spellEnd"/>
            <w:r>
              <w:rPr>
                <w:rFonts w:ascii="Times New Roman" w:hAnsi="Times New Roman"/>
                <w:sz w:val="24"/>
                <w:szCs w:val="24"/>
                <w:lang w:val="en-GB" w:eastAsia="ar-SA"/>
              </w:rPr>
              <w:t xml:space="preserve"> ne </w:t>
            </w:r>
            <w:proofErr w:type="spellStart"/>
            <w:proofErr w:type="gramStart"/>
            <w:r>
              <w:rPr>
                <w:rFonts w:ascii="Times New Roman" w:hAnsi="Times New Roman"/>
                <w:sz w:val="24"/>
                <w:szCs w:val="24"/>
                <w:lang w:val="en-GB" w:eastAsia="ar-SA"/>
              </w:rPr>
              <w:t>mažiau</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kaip</w:t>
            </w:r>
            <w:proofErr w:type="spellEnd"/>
            <w:proofErr w:type="gramEnd"/>
            <w:r>
              <w:rPr>
                <w:rFonts w:ascii="Times New Roman" w:hAnsi="Times New Roman"/>
                <w:sz w:val="24"/>
                <w:szCs w:val="24"/>
                <w:lang w:val="en-GB" w:eastAsia="ar-SA"/>
              </w:rPr>
              <w:t xml:space="preserve"> 3 </w:t>
            </w:r>
            <w:proofErr w:type="spellStart"/>
            <w:r>
              <w:rPr>
                <w:rFonts w:ascii="Times New Roman" w:hAnsi="Times New Roman"/>
                <w:sz w:val="24"/>
                <w:szCs w:val="24"/>
                <w:lang w:val="en-GB" w:eastAsia="ar-SA"/>
              </w:rPr>
              <w:t>projektus</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roofErr w:type="spellStart"/>
            <w:r>
              <w:rPr>
                <w:rFonts w:ascii="Times New Roman" w:hAnsi="Times New Roman"/>
                <w:b/>
                <w:sz w:val="24"/>
                <w:szCs w:val="24"/>
                <w:lang w:val="en-GB" w:eastAsia="ar-SA"/>
              </w:rPr>
              <w:t>Rezultato</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vertinimo</w:t>
            </w:r>
            <w:proofErr w:type="spellEnd"/>
            <w:r>
              <w:rPr>
                <w:rFonts w:ascii="Times New Roman" w:hAnsi="Times New Roman"/>
                <w:b/>
                <w:sz w:val="24"/>
                <w:szCs w:val="24"/>
                <w:lang w:val="en-GB" w:eastAsia="ar-SA"/>
              </w:rPr>
              <w:t xml:space="preserve"> </w:t>
            </w:r>
            <w:proofErr w:type="spellStart"/>
            <w:r>
              <w:rPr>
                <w:rFonts w:ascii="Times New Roman" w:hAnsi="Times New Roman"/>
                <w:b/>
                <w:sz w:val="24"/>
                <w:szCs w:val="24"/>
                <w:lang w:val="en-GB" w:eastAsia="ar-SA"/>
              </w:rPr>
              <w:t>kriterijai</w:t>
            </w:r>
            <w:proofErr w:type="spellEnd"/>
          </w:p>
        </w:tc>
        <w:tc>
          <w:tcPr>
            <w:tcW w:w="3507" w:type="pct"/>
            <w:tcBorders>
              <w:top w:val="single" w:sz="4" w:space="0" w:color="auto"/>
              <w:left w:val="nil"/>
              <w:bottom w:val="single" w:sz="8" w:space="0" w:color="auto"/>
              <w:right w:val="single" w:sz="8" w:space="0" w:color="000000"/>
            </w:tcBorders>
            <w:hideMark/>
          </w:tcPr>
          <w:p w:rsidR="0059775B" w:rsidRDefault="0059775B">
            <w:pPr>
              <w:suppressAutoHyphens/>
              <w:spacing w:after="0" w:line="240" w:lineRule="auto"/>
              <w:jc w:val="both"/>
              <w:rPr>
                <w:rFonts w:ascii="Times New Roman" w:hAnsi="Times New Roman"/>
                <w:sz w:val="24"/>
                <w:szCs w:val="24"/>
                <w:lang w:val="en-GB" w:eastAsia="ar-SA"/>
              </w:rPr>
            </w:pPr>
            <w:r>
              <w:rPr>
                <w:rFonts w:ascii="Times New Roman" w:hAnsi="Times New Roman"/>
                <w:sz w:val="24"/>
                <w:szCs w:val="24"/>
                <w:lang w:val="en-GB" w:eastAsia="ar-SA"/>
              </w:rPr>
              <w:t xml:space="preserve">1. </w:t>
            </w:r>
            <w:proofErr w:type="spellStart"/>
            <w:proofErr w:type="gramStart"/>
            <w:r>
              <w:rPr>
                <w:rFonts w:ascii="Times New Roman" w:hAnsi="Times New Roman"/>
                <w:sz w:val="24"/>
                <w:szCs w:val="24"/>
                <w:lang w:val="en-GB" w:eastAsia="ar-SA"/>
              </w:rPr>
              <w:t>Finansuotų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projektų</w:t>
            </w:r>
            <w:proofErr w:type="spellEnd"/>
            <w:proofErr w:type="gram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skaičius</w:t>
            </w:r>
            <w:proofErr w:type="spellEnd"/>
            <w:r>
              <w:rPr>
                <w:rFonts w:ascii="Times New Roman" w:hAnsi="Times New Roman"/>
                <w:sz w:val="24"/>
                <w:szCs w:val="24"/>
                <w:lang w:val="en-GB" w:eastAsia="ar-SA"/>
              </w:rPr>
              <w:t>.</w:t>
            </w:r>
          </w:p>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r>
              <w:rPr>
                <w:rFonts w:ascii="Times New Roman" w:hAnsi="Times New Roman"/>
                <w:sz w:val="24"/>
                <w:szCs w:val="24"/>
                <w:lang w:val="en-GB" w:eastAsia="ar-SA"/>
              </w:rPr>
              <w:t xml:space="preserve">2. </w:t>
            </w:r>
            <w:proofErr w:type="spellStart"/>
            <w:r>
              <w:rPr>
                <w:rFonts w:ascii="Times New Roman" w:hAnsi="Times New Roman"/>
                <w:sz w:val="24"/>
                <w:szCs w:val="24"/>
                <w:lang w:val="en-GB" w:eastAsia="ar-SA"/>
              </w:rPr>
              <w:t>Vidutinis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finansavimo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dydis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vienam</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projektui</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r>
              <w:rPr>
                <w:rFonts w:ascii="Times New Roman" w:hAnsi="Times New Roman"/>
                <w:b/>
                <w:sz w:val="24"/>
                <w:szCs w:val="24"/>
                <w:lang w:val="en-GB" w:eastAsia="ar-SA"/>
              </w:rPr>
              <w:t xml:space="preserve">IV PRIEMONĖS ĮGYVENDINIMAS </w:t>
            </w:r>
          </w:p>
          <w:p w:rsidR="0059775B" w:rsidRDefault="0059775B">
            <w:pPr>
              <w:widowControl w:val="0"/>
              <w:tabs>
                <w:tab w:val="left" w:pos="514"/>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
        </w:tc>
        <w:tc>
          <w:tcPr>
            <w:tcW w:w="3507" w:type="pct"/>
            <w:tcBorders>
              <w:top w:val="single" w:sz="4" w:space="0" w:color="auto"/>
              <w:left w:val="nil"/>
              <w:bottom w:val="single" w:sz="8" w:space="0" w:color="auto"/>
              <w:right w:val="single" w:sz="8" w:space="0" w:color="000000"/>
            </w:tcBorders>
            <w:hideMark/>
          </w:tcPr>
          <w:p w:rsidR="0059775B" w:rsidRDefault="0059775B">
            <w:pPr>
              <w:suppressAutoHyphens/>
              <w:spacing w:after="0" w:line="240" w:lineRule="auto"/>
              <w:jc w:val="both"/>
              <w:rPr>
                <w:rFonts w:ascii="Times New Roman" w:hAnsi="Times New Roman"/>
                <w:sz w:val="24"/>
                <w:szCs w:val="24"/>
                <w:lang w:val="en-GB" w:eastAsia="ar-SA"/>
              </w:rPr>
            </w:pPr>
            <w:proofErr w:type="spellStart"/>
            <w:r>
              <w:rPr>
                <w:rFonts w:ascii="Times New Roman" w:hAnsi="Times New Roman"/>
                <w:sz w:val="24"/>
                <w:szCs w:val="24"/>
                <w:lang w:val="en-GB" w:eastAsia="ar-SA"/>
              </w:rPr>
              <w:t>Priemonė</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įgyvendinama</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Administracijos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direktoriaus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nustatyta</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tvarka</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skiriant</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finansavimą</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teritorijoje</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veikiančių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neįgaliuosius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atstovaujančių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organizacijų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bei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įstaigų</w:t>
            </w:r>
            <w:proofErr w:type="spellEnd"/>
            <w:r>
              <w:rPr>
                <w:rFonts w:ascii="Times New Roman" w:hAnsi="Times New Roman"/>
                <w:sz w:val="24"/>
                <w:szCs w:val="24"/>
                <w:lang w:val="en-GB" w:eastAsia="ar-SA"/>
              </w:rPr>
              <w:t xml:space="preserve"> / </w:t>
            </w:r>
            <w:proofErr w:type="spellStart"/>
            <w:r>
              <w:rPr>
                <w:rFonts w:ascii="Times New Roman" w:hAnsi="Times New Roman"/>
                <w:sz w:val="24"/>
                <w:szCs w:val="24"/>
                <w:lang w:val="en-GB" w:eastAsia="ar-SA"/>
              </w:rPr>
              <w:t>įmonių</w:t>
            </w:r>
            <w:proofErr w:type="spellEnd"/>
            <w:r>
              <w:rPr>
                <w:rFonts w:ascii="Times New Roman" w:hAnsi="Times New Roman"/>
                <w:sz w:val="24"/>
                <w:szCs w:val="24"/>
                <w:lang w:val="en-GB" w:eastAsia="ar-SA"/>
              </w:rPr>
              <w:t xml:space="preserve"> / </w:t>
            </w:r>
            <w:proofErr w:type="spellStart"/>
            <w:r>
              <w:rPr>
                <w:rFonts w:ascii="Times New Roman" w:hAnsi="Times New Roman"/>
                <w:sz w:val="24"/>
                <w:szCs w:val="24"/>
                <w:lang w:val="en-GB" w:eastAsia="ar-SA"/>
              </w:rPr>
              <w:t>organizacijų</w:t>
            </w:r>
            <w:proofErr w:type="spellEnd"/>
            <w:r>
              <w:rPr>
                <w:rFonts w:ascii="Times New Roman" w:hAnsi="Times New Roman"/>
                <w:sz w:val="24"/>
                <w:szCs w:val="24"/>
                <w:lang w:val="en-GB" w:eastAsia="ar-SA"/>
              </w:rPr>
              <w:t xml:space="preserve"> / </w:t>
            </w:r>
            <w:proofErr w:type="spellStart"/>
            <w:r>
              <w:rPr>
                <w:rFonts w:ascii="Times New Roman" w:hAnsi="Times New Roman"/>
                <w:sz w:val="24"/>
                <w:szCs w:val="24"/>
                <w:lang w:val="en-GB" w:eastAsia="ar-SA"/>
              </w:rPr>
              <w:t>asociacijų</w:t>
            </w:r>
            <w:proofErr w:type="spellEnd"/>
            <w:r>
              <w:rPr>
                <w:rFonts w:ascii="Times New Roman" w:hAnsi="Times New Roman"/>
                <w:sz w:val="24"/>
                <w:szCs w:val="24"/>
                <w:lang w:val="en-GB" w:eastAsia="ar-SA"/>
              </w:rPr>
              <w:t xml:space="preserve"> / </w:t>
            </w:r>
            <w:proofErr w:type="spellStart"/>
            <w:r>
              <w:rPr>
                <w:rFonts w:ascii="Times New Roman" w:hAnsi="Times New Roman"/>
                <w:sz w:val="24"/>
                <w:szCs w:val="24"/>
                <w:lang w:val="en-GB" w:eastAsia="ar-SA"/>
              </w:rPr>
              <w:t>draugijų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teikiančių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paslaugas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neįgaliesiems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pateiktiems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projektams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įgyvendinti</w:t>
            </w:r>
            <w:proofErr w:type="spellEnd"/>
            <w:r>
              <w:rPr>
                <w:rFonts w:ascii="Times New Roman" w:hAnsi="Times New Roman"/>
                <w:sz w:val="24"/>
                <w:szCs w:val="24"/>
                <w:lang w:val="en-GB" w:eastAsia="ar-SA"/>
              </w:rPr>
              <w:t xml:space="preserve">. </w:t>
            </w:r>
          </w:p>
          <w:p w:rsidR="0059775B" w:rsidRDefault="0059775B">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Prioriteto tvarka finansuojamos šios veiklos sritys:</w:t>
            </w:r>
          </w:p>
          <w:p w:rsidR="0059775B" w:rsidRDefault="0059775B">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1. Pagal asociacijos atstovaujamų neįgaliųjų negalios pobūdį ir problemų specifiką teikiamos paslaugos: neįgaliųjų teisių atstovavimas; informavimas ir konsultavimas, neįgaliųjų ir jų šeimos narių švietimas (leidyba, konferencijų, seminarų organizavimas).</w:t>
            </w:r>
          </w:p>
          <w:p w:rsidR="0059775B" w:rsidRDefault="0059775B">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 xml:space="preserve">2. Neįgaliųjų savarankiškumo didinimas, organizuojant neįgaliųjų </w:t>
            </w:r>
            <w:r>
              <w:rPr>
                <w:rFonts w:ascii="Times New Roman" w:hAnsi="Times New Roman"/>
                <w:sz w:val="24"/>
                <w:szCs w:val="24"/>
                <w:lang w:val="es-ES" w:eastAsia="ar-SA"/>
              </w:rPr>
              <w:lastRenderedPageBreak/>
              <w:t>užimtumą ir įvairių įgūdžių formavimo mokymus (kompiuterinio raštingumo, pynimo, mezgimo ir kitus) bei taikant specialiąsias medicinos ir socialines priemones (slaugos priemonės; psichosocialinė reabilitacija; techninės pagalbos priemonės ir kitos).</w:t>
            </w:r>
          </w:p>
          <w:p w:rsidR="0059775B" w:rsidRDefault="0059775B">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3. Nuolatinio pobūdžio neįgaliųjų kultūrinė ir sportinė veikla (neįgaliųjų meno kolektyvų veikla; sporto užsiėmimai; kultūriniai bei sportiniai renginiai).</w:t>
            </w:r>
          </w:p>
          <w:p w:rsidR="0059775B" w:rsidRDefault="0059775B">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Prioritetas teikiamas:</w:t>
            </w:r>
          </w:p>
          <w:p w:rsidR="0059775B" w:rsidRDefault="0059775B">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1. Tęstiniams projektams.</w:t>
            </w:r>
          </w:p>
          <w:p w:rsidR="0059775B" w:rsidRDefault="0059775B">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2. Projektams, skirtiems neįgaliųjų, kuriems Lietuvos Respublikos neįgaliųjų socialinės integracijos įstatymo nustatyta tvarka nustatytas sunkus ar vidutinis neįgalumo lygis, arba 0–40 procentų darbingumo lygis, arba didelis ar vidutinis specialiųjų poreikių lygis, poreikiams tenkinti.</w:t>
            </w:r>
          </w:p>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s-ES" w:eastAsia="ar-SA"/>
              </w:rPr>
            </w:pPr>
            <w:r>
              <w:rPr>
                <w:rFonts w:ascii="Times New Roman" w:hAnsi="Times New Roman"/>
                <w:sz w:val="24"/>
                <w:szCs w:val="24"/>
                <w:lang w:val="es-ES" w:eastAsia="ar-SA"/>
              </w:rPr>
              <w:t>3. Projektams, kuriuose numatoma teikti paslaugas neįgaliesiems Anykščių rajono savivaldybės seniūnijose (ne mažiau kaip 3).</w:t>
            </w:r>
          </w:p>
          <w:p w:rsidR="0059775B" w:rsidRDefault="0059775B">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4. Projektams, kuriuose numatytos veiklos didina paslaugų prieinamumą bendruomenės lygmeniu ir gerina jų kokybę.</w:t>
            </w:r>
          </w:p>
          <w:p w:rsidR="0059775B" w:rsidRDefault="0059775B">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5. Projektams, kurie turi kitų finansavimo šaltinių lėšų.</w:t>
            </w:r>
          </w:p>
          <w:p w:rsidR="0059775B" w:rsidRDefault="0059775B">
            <w:pPr>
              <w:suppressAutoHyphens/>
              <w:spacing w:after="0" w:line="240" w:lineRule="auto"/>
              <w:jc w:val="both"/>
              <w:rPr>
                <w:rFonts w:ascii="Times New Roman" w:hAnsi="Times New Roman"/>
                <w:sz w:val="24"/>
                <w:szCs w:val="24"/>
                <w:lang w:val="es-ES" w:eastAsia="ar-SA"/>
              </w:rPr>
            </w:pPr>
            <w:r>
              <w:rPr>
                <w:rFonts w:ascii="Times New Roman" w:hAnsi="Times New Roman"/>
                <w:sz w:val="24"/>
                <w:szCs w:val="24"/>
                <w:lang w:val="es-ES" w:eastAsia="ar-SA"/>
              </w:rPr>
              <w:t>Tiesioginiai projektų naudos gavėjai – neįgalieji ir jų šeimos nariai (tėvai (įtėviai), sutuoktinis, vaikai, broliai, seserys, globėjai, rūpintojai).</w:t>
            </w:r>
          </w:p>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s-ES" w:eastAsia="ar-SA"/>
              </w:rPr>
            </w:pPr>
            <w:r>
              <w:rPr>
                <w:rFonts w:ascii="Times New Roman" w:hAnsi="Times New Roman"/>
                <w:sz w:val="24"/>
                <w:szCs w:val="24"/>
                <w:lang w:val="es-ES" w:eastAsia="ar-SA"/>
              </w:rPr>
              <w:t>Anykščių rajono savivaldybės tarybai patvirtinus einamųjų metų biudžetą, ne vėliau kaip per 14 kalendorinių dienų nuo biudžeto patvirtinimo dienos skelbiamas konkursas teikti paraiškas įstaigų, įmonių, organizacijų, asociacijų, draugijų projektų finansavimui gauti. Informacija apie konkursą skelbiama Anykščių rajono spaudoje ir Anykščių rajono savivaldybės internetiniame puslapyje. Paraiškų priėmimo terminas – 20 kalendorinių dienų nuo konkurso paskelbimo datos. Konkursui pateiktus projektus vertina ir pasiūlymus dėl jų finansavimo Administracijos direktoriui teikia Administracijos direktoriaus įsakymu sudaryta Anykščių rajono savivaldybės socialinės srities projektų vertinimo komisija. Už priemonių, numatytų projektuose, organizavimą, įgyvendinimą ir lėšų tinkamą panaudojimą atsako priemonės vykdytojai</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r>
              <w:rPr>
                <w:rFonts w:ascii="Times New Roman" w:hAnsi="Times New Roman"/>
                <w:b/>
                <w:sz w:val="24"/>
                <w:szCs w:val="24"/>
                <w:lang w:val="en-GB" w:eastAsia="ar-SA"/>
              </w:rPr>
              <w:lastRenderedPageBreak/>
              <w:t>V PRIEMONĖS VERTINIMAS IR ATSAKOMYBĖ</w:t>
            </w:r>
          </w:p>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p>
        </w:tc>
        <w:tc>
          <w:tcPr>
            <w:tcW w:w="3507" w:type="pct"/>
            <w:tcBorders>
              <w:top w:val="single" w:sz="4" w:space="0" w:color="auto"/>
              <w:left w:val="nil"/>
              <w:bottom w:val="single" w:sz="8" w:space="0" w:color="auto"/>
              <w:right w:val="single" w:sz="8" w:space="0" w:color="000000"/>
            </w:tcBorders>
            <w:hideMark/>
          </w:tcPr>
          <w:p w:rsidR="0059775B" w:rsidRDefault="0059775B">
            <w:pPr>
              <w:suppressAutoHyphens/>
              <w:spacing w:after="0" w:line="240" w:lineRule="auto"/>
              <w:jc w:val="both"/>
              <w:rPr>
                <w:rFonts w:ascii="Times New Roman" w:hAnsi="Times New Roman"/>
                <w:sz w:val="24"/>
                <w:szCs w:val="24"/>
                <w:lang w:val="en-GB" w:eastAsia="ar-SA"/>
              </w:rPr>
            </w:pPr>
            <w:proofErr w:type="spellStart"/>
            <w:r>
              <w:rPr>
                <w:rFonts w:ascii="Times New Roman" w:hAnsi="Times New Roman"/>
                <w:sz w:val="24"/>
                <w:szCs w:val="24"/>
                <w:lang w:val="en-GB" w:eastAsia="ar-SA"/>
              </w:rPr>
              <w:t>Už</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priemonės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vykdymą</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atsako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Socialinės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paramos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skyrius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Už</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lėšų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skirtų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įgyvendinti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projektus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tinkamą</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panaudojimą</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atsako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įstaigos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įmonės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organizacijos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asociacijos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draugijos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kurioms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pagal</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sutartis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skiriamos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lėšos</w:t>
            </w:r>
            <w:proofErr w:type="spellEnd"/>
            <w:r>
              <w:rPr>
                <w:rFonts w:ascii="Times New Roman" w:hAnsi="Times New Roman"/>
                <w:sz w:val="24"/>
                <w:szCs w:val="24"/>
                <w:lang w:val="en-GB" w:eastAsia="ar-SA"/>
              </w:rPr>
              <w:t xml:space="preserve">. </w:t>
            </w:r>
          </w:p>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Už</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priemonės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lėšų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apskaitą</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atsako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savivaldybės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administracijos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Finansų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ir</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apskaitos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skyrius</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r>
              <w:rPr>
                <w:rFonts w:ascii="Times New Roman" w:hAnsi="Times New Roman"/>
                <w:b/>
                <w:sz w:val="24"/>
                <w:szCs w:val="24"/>
                <w:lang w:val="en-GB" w:eastAsia="ar-SA"/>
              </w:rPr>
              <w:t xml:space="preserve">VI PRIEMONĖS FINANSAVIMO ŠALTINIAI   </w:t>
            </w:r>
          </w:p>
        </w:tc>
        <w:tc>
          <w:tcPr>
            <w:tcW w:w="3507" w:type="pct"/>
            <w:tcBorders>
              <w:top w:val="single" w:sz="4" w:space="0" w:color="auto"/>
              <w:left w:val="nil"/>
              <w:bottom w:val="single" w:sz="8" w:space="0" w:color="auto"/>
              <w:right w:val="single" w:sz="8" w:space="0" w:color="000000"/>
            </w:tcBorders>
            <w:hideMark/>
          </w:tcPr>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savivaldybės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biudžeto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lėšos</w:t>
            </w:r>
            <w:proofErr w:type="spellEnd"/>
            <w:r>
              <w:rPr>
                <w:rFonts w:ascii="Times New Roman" w:hAnsi="Times New Roman"/>
                <w:sz w:val="24"/>
                <w:szCs w:val="24"/>
                <w:lang w:val="en-GB" w:eastAsia="ar-SA"/>
              </w:rPr>
              <w:t>.</w:t>
            </w:r>
          </w:p>
        </w:tc>
      </w:tr>
      <w:tr w:rsidR="0059775B" w:rsidTr="0059775B">
        <w:trPr>
          <w:trHeight w:val="450"/>
        </w:trPr>
        <w:tc>
          <w:tcPr>
            <w:tcW w:w="1493" w:type="pct"/>
            <w:tcBorders>
              <w:top w:val="single" w:sz="4" w:space="0" w:color="auto"/>
              <w:left w:val="single" w:sz="8" w:space="0" w:color="auto"/>
              <w:bottom w:val="single" w:sz="8" w:space="0" w:color="auto"/>
              <w:right w:val="single" w:sz="4" w:space="0" w:color="auto"/>
            </w:tcBorders>
            <w:hideMark/>
          </w:tcPr>
          <w:p w:rsidR="0059775B" w:rsidRDefault="0059775B">
            <w:pPr>
              <w:widowControl w:val="0"/>
              <w:tabs>
                <w:tab w:val="left" w:pos="1293"/>
              </w:tabs>
              <w:suppressAutoHyphens/>
              <w:overflowPunct w:val="0"/>
              <w:autoSpaceDE w:val="0"/>
              <w:autoSpaceDN w:val="0"/>
              <w:adjustRightInd w:val="0"/>
              <w:spacing w:after="0" w:line="240" w:lineRule="auto"/>
              <w:textAlignment w:val="baseline"/>
              <w:rPr>
                <w:rFonts w:ascii="Times New Roman" w:hAnsi="Times New Roman"/>
                <w:b/>
                <w:sz w:val="24"/>
                <w:szCs w:val="24"/>
                <w:lang w:val="en-GB" w:eastAsia="ar-SA"/>
              </w:rPr>
            </w:pPr>
            <w:r>
              <w:rPr>
                <w:rFonts w:ascii="Times New Roman" w:hAnsi="Times New Roman"/>
                <w:b/>
                <w:bCs/>
                <w:sz w:val="24"/>
                <w:szCs w:val="24"/>
                <w:lang w:val="en-GB" w:eastAsia="ar-SA"/>
              </w:rPr>
              <w:t xml:space="preserve">VII </w:t>
            </w:r>
            <w:r>
              <w:rPr>
                <w:rFonts w:ascii="Times New Roman" w:hAnsi="Times New Roman"/>
                <w:b/>
                <w:sz w:val="24"/>
                <w:szCs w:val="20"/>
                <w:lang w:val="en-GB" w:eastAsia="ar-SA"/>
              </w:rPr>
              <w:t>BAIGIAMOSIOS NUOSTATOS</w:t>
            </w:r>
          </w:p>
        </w:tc>
        <w:tc>
          <w:tcPr>
            <w:tcW w:w="3507" w:type="pct"/>
            <w:tcBorders>
              <w:top w:val="single" w:sz="4" w:space="0" w:color="auto"/>
              <w:left w:val="nil"/>
              <w:bottom w:val="single" w:sz="8" w:space="0" w:color="auto"/>
              <w:right w:val="single" w:sz="8" w:space="0" w:color="000000"/>
            </w:tcBorders>
            <w:hideMark/>
          </w:tcPr>
          <w:p w:rsidR="0059775B" w:rsidRDefault="0059775B">
            <w:pPr>
              <w:suppressAutoHyphens/>
              <w:spacing w:after="0" w:line="240" w:lineRule="auto"/>
              <w:jc w:val="both"/>
              <w:rPr>
                <w:rFonts w:ascii="Times New Roman" w:hAnsi="Times New Roman"/>
                <w:sz w:val="24"/>
                <w:szCs w:val="24"/>
                <w:lang w:val="en-GB" w:eastAsia="ar-SA"/>
              </w:rPr>
            </w:pPr>
            <w:proofErr w:type="spellStart"/>
            <w:r>
              <w:rPr>
                <w:rFonts w:ascii="Times New Roman" w:hAnsi="Times New Roman"/>
                <w:sz w:val="24"/>
                <w:szCs w:val="24"/>
                <w:lang w:val="en-GB" w:eastAsia="ar-SA"/>
              </w:rPr>
              <w:t>Dėl</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nepakankamo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Priemonei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įgyvendinti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skirto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finansavimo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gali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mažėti</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pasiekimų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rodikliai</w:t>
            </w:r>
            <w:proofErr w:type="spellEnd"/>
            <w:r>
              <w:rPr>
                <w:rFonts w:ascii="Times New Roman" w:hAnsi="Times New Roman"/>
                <w:sz w:val="24"/>
                <w:szCs w:val="24"/>
                <w:lang w:val="en-GB" w:eastAsia="ar-SA"/>
              </w:rPr>
              <w:t>.</w:t>
            </w:r>
          </w:p>
          <w:p w:rsidR="0059775B" w:rsidRDefault="0059775B">
            <w:pPr>
              <w:widowControl w:val="0"/>
              <w:tabs>
                <w:tab w:val="left" w:pos="1293"/>
              </w:tabs>
              <w:suppressAutoHyphens/>
              <w:overflowPunct w:val="0"/>
              <w:autoSpaceDE w:val="0"/>
              <w:autoSpaceDN w:val="0"/>
              <w:adjustRightInd w:val="0"/>
              <w:spacing w:after="0" w:line="240" w:lineRule="auto"/>
              <w:jc w:val="both"/>
              <w:textAlignment w:val="baseline"/>
              <w:rPr>
                <w:rFonts w:ascii="Times New Roman" w:hAnsi="Times New Roman"/>
                <w:sz w:val="24"/>
                <w:szCs w:val="24"/>
                <w:lang w:val="en-GB" w:eastAsia="ar-SA"/>
              </w:rPr>
            </w:pPr>
            <w:proofErr w:type="spellStart"/>
            <w:r>
              <w:rPr>
                <w:rFonts w:ascii="Times New Roman" w:hAnsi="Times New Roman"/>
                <w:sz w:val="24"/>
                <w:szCs w:val="24"/>
                <w:lang w:val="en-GB" w:eastAsia="ar-SA"/>
              </w:rPr>
              <w:t>Šis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aprašas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tvirtinamas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ir</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keičiamas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Anykščių</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rajono</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savivaldybės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tarybos</w:t>
            </w:r>
            <w:proofErr w:type="spellEnd"/>
            <w:r>
              <w:rPr>
                <w:rFonts w:ascii="Times New Roman" w:hAnsi="Times New Roman"/>
                <w:sz w:val="24"/>
                <w:szCs w:val="24"/>
                <w:lang w:val="en-GB" w:eastAsia="ar-SA"/>
              </w:rPr>
              <w:t xml:space="preserve"> </w:t>
            </w:r>
            <w:proofErr w:type="spellStart"/>
            <w:r>
              <w:rPr>
                <w:rFonts w:ascii="Times New Roman" w:hAnsi="Times New Roman"/>
                <w:sz w:val="24"/>
                <w:szCs w:val="24"/>
                <w:lang w:val="en-GB" w:eastAsia="ar-SA"/>
              </w:rPr>
              <w:t>sprendimu</w:t>
            </w:r>
            <w:proofErr w:type="spellEnd"/>
            <w:r>
              <w:rPr>
                <w:rFonts w:ascii="Times New Roman" w:hAnsi="Times New Roman"/>
                <w:sz w:val="24"/>
                <w:szCs w:val="24"/>
                <w:lang w:val="en-GB" w:eastAsia="ar-SA"/>
              </w:rPr>
              <w:t>.</w:t>
            </w:r>
          </w:p>
        </w:tc>
      </w:tr>
    </w:tbl>
    <w:p w:rsidR="0059775B" w:rsidRDefault="0059775B" w:rsidP="0059775B">
      <w:pPr>
        <w:widowControl w:val="0"/>
        <w:tabs>
          <w:tab w:val="left" w:pos="1293"/>
        </w:tabs>
        <w:overflowPunct w:val="0"/>
        <w:autoSpaceDE w:val="0"/>
        <w:autoSpaceDN w:val="0"/>
        <w:adjustRightInd w:val="0"/>
        <w:spacing w:after="0" w:line="240" w:lineRule="auto"/>
        <w:jc w:val="center"/>
        <w:textAlignment w:val="baseline"/>
        <w:rPr>
          <w:rFonts w:ascii="Times New Roman" w:hAnsi="Times New Roman"/>
          <w:sz w:val="24"/>
          <w:szCs w:val="20"/>
        </w:rPr>
      </w:pPr>
      <w:r>
        <w:rPr>
          <w:rFonts w:ascii="Times New Roman" w:hAnsi="Times New Roman"/>
          <w:sz w:val="24"/>
          <w:szCs w:val="24"/>
        </w:rPr>
        <w:t>_____________________________</w:t>
      </w:r>
    </w:p>
    <w:p w:rsidR="0059775B" w:rsidRDefault="0059775B" w:rsidP="0059775B">
      <w:bookmarkStart w:id="2" w:name="_GoBack"/>
      <w:bookmarkEnd w:id="2"/>
    </w:p>
    <w:sectPr w:rsidR="005977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5B"/>
    <w:rsid w:val="0059775B"/>
    <w:rsid w:val="009853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9775B"/>
    <w:rPr>
      <w:rFonts w:ascii="Calibri" w:eastAsia="Times New Roman"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9775B"/>
    <w:rPr>
      <w:rFonts w:ascii="Calibri" w:eastAsia="Times New Roman"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5605</Words>
  <Characters>3196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dc:creator>
  <cp:lastModifiedBy>Gintare</cp:lastModifiedBy>
  <cp:revision>1</cp:revision>
  <dcterms:created xsi:type="dcterms:W3CDTF">2017-03-01T12:40:00Z</dcterms:created>
  <dcterms:modified xsi:type="dcterms:W3CDTF">2017-03-01T12:41:00Z</dcterms:modified>
</cp:coreProperties>
</file>